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CE7EA6" w14:textId="77777777" w:rsidR="000A2A89" w:rsidRPr="00700B30" w:rsidRDefault="000A2A89" w:rsidP="00700B30">
      <w:pPr>
        <w:jc w:val="both"/>
        <w:rPr>
          <w:rFonts w:ascii="Times New Roman" w:hAnsi="Times New Roman" w:cs="Times New Roman"/>
        </w:rPr>
      </w:pPr>
    </w:p>
    <w:p w14:paraId="0BDD61A7" w14:textId="77777777" w:rsidR="00864F5B" w:rsidRPr="004D4825" w:rsidRDefault="00864F5B" w:rsidP="0061445A">
      <w:pPr>
        <w:jc w:val="center"/>
        <w:outlineLvl w:val="0"/>
        <w:rPr>
          <w:rFonts w:ascii="Times New Roman" w:hAnsi="Times New Roman" w:cs="Times New Roman"/>
          <w:b/>
        </w:rPr>
      </w:pPr>
      <w:r w:rsidRPr="004D4825">
        <w:rPr>
          <w:rFonts w:ascii="Times New Roman" w:hAnsi="Times New Roman" w:cs="Times New Roman"/>
          <w:b/>
        </w:rPr>
        <w:t>Anexo</w:t>
      </w:r>
      <w:r w:rsidR="004D4825" w:rsidRPr="004D4825">
        <w:rPr>
          <w:rFonts w:ascii="Times New Roman" w:hAnsi="Times New Roman" w:cs="Times New Roman"/>
          <w:b/>
        </w:rPr>
        <w:t xml:space="preserve"> 14 Análisis del proyecto</w:t>
      </w:r>
      <w:r w:rsidRPr="004D4825">
        <w:rPr>
          <w:rFonts w:ascii="Times New Roman" w:hAnsi="Times New Roman" w:cs="Times New Roman"/>
          <w:b/>
        </w:rPr>
        <w:t xml:space="preserve"> ATINAR</w:t>
      </w:r>
    </w:p>
    <w:p w14:paraId="46F7F1C0" w14:textId="77777777" w:rsidR="00864F5B" w:rsidRDefault="00864F5B" w:rsidP="00700B30">
      <w:pPr>
        <w:jc w:val="both"/>
        <w:rPr>
          <w:rFonts w:ascii="Times New Roman" w:hAnsi="Times New Roman" w:cs="Times New Roman"/>
        </w:rPr>
      </w:pPr>
    </w:p>
    <w:p w14:paraId="3102216D" w14:textId="77777777" w:rsidR="00646DC3" w:rsidRPr="00646DC3" w:rsidRDefault="00646DC3" w:rsidP="0061445A">
      <w:pPr>
        <w:jc w:val="both"/>
        <w:outlineLvl w:val="0"/>
        <w:rPr>
          <w:rFonts w:ascii="Times New Roman" w:hAnsi="Times New Roman" w:cs="Times New Roman"/>
          <w:b/>
        </w:rPr>
      </w:pPr>
      <w:r w:rsidRPr="00646DC3">
        <w:rPr>
          <w:rFonts w:ascii="Times New Roman" w:hAnsi="Times New Roman" w:cs="Times New Roman"/>
          <w:b/>
        </w:rPr>
        <w:t>Descripción del proyecto</w:t>
      </w:r>
    </w:p>
    <w:p w14:paraId="39C921CC" w14:textId="77777777" w:rsidR="00646DC3" w:rsidRPr="00700B30" w:rsidRDefault="00646DC3" w:rsidP="00700B30">
      <w:pPr>
        <w:jc w:val="both"/>
        <w:rPr>
          <w:rFonts w:ascii="Times New Roman" w:hAnsi="Times New Roman" w:cs="Times New Roman"/>
        </w:rPr>
      </w:pPr>
    </w:p>
    <w:p w14:paraId="742268B9" w14:textId="77777777" w:rsidR="00864F5B" w:rsidRPr="00700B30" w:rsidRDefault="003A0A23" w:rsidP="00700B30">
      <w:pPr>
        <w:jc w:val="both"/>
        <w:rPr>
          <w:rFonts w:ascii="Times New Roman" w:hAnsi="Times New Roman" w:cs="Times New Roman"/>
        </w:rPr>
      </w:pPr>
      <w:r w:rsidRPr="00700B30">
        <w:rPr>
          <w:rFonts w:ascii="Times New Roman" w:hAnsi="Times New Roman" w:cs="Times New Roman"/>
          <w:lang w:val="es-ES"/>
        </w:rPr>
        <w:t xml:space="preserve">El proyecto “Fortaleciendo las dinámicas locales en la cuenca el río Naranjo y cuenca del lago de </w:t>
      </w:r>
      <w:proofErr w:type="spellStart"/>
      <w:r w:rsidRPr="00700B30">
        <w:rPr>
          <w:rFonts w:ascii="Times New Roman" w:hAnsi="Times New Roman" w:cs="Times New Roman"/>
          <w:lang w:val="es-ES"/>
        </w:rPr>
        <w:t>Atitlán</w:t>
      </w:r>
      <w:proofErr w:type="spellEnd"/>
      <w:r w:rsidRPr="00700B30">
        <w:rPr>
          <w:rFonts w:ascii="Times New Roman" w:hAnsi="Times New Roman" w:cs="Times New Roman"/>
          <w:lang w:val="es-ES"/>
        </w:rPr>
        <w:t xml:space="preserve"> con énfasis en la producción intensiva agrícola y la producción artesanal. </w:t>
      </w:r>
      <w:r w:rsidRPr="00700B30">
        <w:rPr>
          <w:rFonts w:ascii="Times New Roman" w:hAnsi="Times New Roman" w:cs="Times New Roman"/>
          <w:i/>
          <w:lang w:val="es-ES"/>
        </w:rPr>
        <w:t xml:space="preserve">De la reconstrucción al desarrollo” </w:t>
      </w:r>
      <w:r w:rsidRPr="00700B30">
        <w:rPr>
          <w:rFonts w:ascii="Times New Roman" w:hAnsi="Times New Roman" w:cs="Times New Roman"/>
          <w:lang w:val="es-ES"/>
        </w:rPr>
        <w:t xml:space="preserve">(GCP/GUA/012/SPA, II Fase) </w:t>
      </w:r>
      <w:r w:rsidR="00B65F10" w:rsidRPr="00700B30">
        <w:rPr>
          <w:rFonts w:ascii="Times New Roman" w:hAnsi="Times New Roman" w:cs="Times New Roman"/>
          <w:lang w:val="es-ES"/>
        </w:rPr>
        <w:t xml:space="preserve">es </w:t>
      </w:r>
      <w:r w:rsidRPr="00700B30">
        <w:rPr>
          <w:rFonts w:ascii="Times New Roman" w:hAnsi="Times New Roman" w:cs="Times New Roman"/>
          <w:lang w:val="es-ES"/>
        </w:rPr>
        <w:t>comúnmente conocido dentro del Fondo España-FAO como Proyecto ATINAR</w:t>
      </w:r>
      <w:r w:rsidR="00B65F10" w:rsidRPr="00700B30">
        <w:rPr>
          <w:rFonts w:ascii="Times New Roman" w:hAnsi="Times New Roman" w:cs="Times New Roman"/>
          <w:lang w:val="es-ES"/>
        </w:rPr>
        <w:t>.</w:t>
      </w:r>
      <w:r w:rsidRPr="00700B30">
        <w:rPr>
          <w:rStyle w:val="FootnoteReference"/>
          <w:rFonts w:ascii="Times New Roman" w:hAnsi="Times New Roman" w:cs="Times New Roman"/>
          <w:lang w:val="es-ES"/>
        </w:rPr>
        <w:footnoteReference w:id="1"/>
      </w:r>
    </w:p>
    <w:p w14:paraId="67186456" w14:textId="77777777" w:rsidR="00864F5B" w:rsidRDefault="00864F5B" w:rsidP="00700B30">
      <w:pPr>
        <w:jc w:val="both"/>
        <w:rPr>
          <w:rFonts w:ascii="Times New Roman" w:hAnsi="Times New Roman" w:cs="Times New Roman"/>
        </w:rPr>
      </w:pPr>
    </w:p>
    <w:p w14:paraId="2DCE1D12" w14:textId="77777777" w:rsidR="00B65F10" w:rsidRPr="00700B30" w:rsidRDefault="00646DC3" w:rsidP="00646DC3">
      <w:pPr>
        <w:jc w:val="both"/>
        <w:rPr>
          <w:rFonts w:ascii="Times New Roman" w:eastAsia="Times New Roman" w:hAnsi="Times New Roman" w:cs="Times New Roman"/>
          <w:lang w:eastAsia="es-ES"/>
        </w:rPr>
      </w:pPr>
      <w:r>
        <w:rPr>
          <w:rFonts w:ascii="Times New Roman" w:hAnsi="Times New Roman" w:cs="Times New Roman"/>
        </w:rPr>
        <w:t>El objetivo del proyecto es</w:t>
      </w:r>
      <w:r w:rsidRPr="00700B30">
        <w:rPr>
          <w:b/>
          <w:bCs/>
        </w:rPr>
        <w:t xml:space="preserve"> </w:t>
      </w:r>
      <w:r>
        <w:rPr>
          <w:rFonts w:ascii="Times New Roman" w:hAnsi="Times New Roman" w:cs="Times New Roman"/>
        </w:rPr>
        <w:t>“c</w:t>
      </w:r>
      <w:r w:rsidR="00B65F10" w:rsidRPr="00700B30">
        <w:rPr>
          <w:rFonts w:ascii="Times New Roman" w:hAnsi="Times New Roman" w:cs="Times New Roman"/>
        </w:rPr>
        <w:t xml:space="preserve">ontribuir a la promoción del desarrollo económico, la mejora de ingresos de productores y fortalecer los sistemas productivos familiares de autoconsumo en los municipios priorizados dentro de las cuencas del lago de </w:t>
      </w:r>
      <w:proofErr w:type="spellStart"/>
      <w:r w:rsidR="00B65F10" w:rsidRPr="00700B30">
        <w:rPr>
          <w:rFonts w:ascii="Times New Roman" w:hAnsi="Times New Roman" w:cs="Times New Roman"/>
        </w:rPr>
        <w:t>Atitlán</w:t>
      </w:r>
      <w:proofErr w:type="spellEnd"/>
      <w:r w:rsidR="00B65F10" w:rsidRPr="00700B30">
        <w:rPr>
          <w:rFonts w:ascii="Times New Roman" w:hAnsi="Times New Roman" w:cs="Times New Roman"/>
        </w:rPr>
        <w:t xml:space="preserve"> y río Naranjo, a través de la implementación de proyectos en el sector agrícola y artesanal”.</w:t>
      </w:r>
      <w:r>
        <w:rPr>
          <w:rFonts w:ascii="Times New Roman" w:hAnsi="Times New Roman" w:cs="Times New Roman"/>
        </w:rPr>
        <w:t xml:space="preserve"> Se busca </w:t>
      </w:r>
      <w:r>
        <w:rPr>
          <w:rFonts w:ascii="Times New Roman" w:eastAsia="Times New Roman" w:hAnsi="Times New Roman" w:cs="Times New Roman"/>
          <w:lang w:eastAsia="es-ES"/>
        </w:rPr>
        <w:t>mejorar</w:t>
      </w:r>
      <w:r w:rsidR="00B65F10" w:rsidRPr="00700B30">
        <w:rPr>
          <w:rFonts w:ascii="Times New Roman" w:eastAsia="Times New Roman" w:hAnsi="Times New Roman" w:cs="Times New Roman"/>
          <w:lang w:eastAsia="es-ES"/>
        </w:rPr>
        <w:t xml:space="preserve"> </w:t>
      </w:r>
      <w:r>
        <w:rPr>
          <w:rFonts w:ascii="Times New Roman" w:eastAsia="Times New Roman" w:hAnsi="Times New Roman" w:cs="Times New Roman"/>
          <w:lang w:eastAsia="es-ES"/>
        </w:rPr>
        <w:t xml:space="preserve">a) los procesos </w:t>
      </w:r>
      <w:r w:rsidR="00B65F10" w:rsidRPr="00700B30">
        <w:rPr>
          <w:rFonts w:ascii="Times New Roman" w:eastAsia="Times New Roman" w:hAnsi="Times New Roman" w:cs="Times New Roman"/>
          <w:lang w:eastAsia="es-ES"/>
        </w:rPr>
        <w:t xml:space="preserve">productivas </w:t>
      </w:r>
      <w:r>
        <w:rPr>
          <w:rFonts w:ascii="Times New Roman" w:eastAsia="Times New Roman" w:hAnsi="Times New Roman" w:cs="Times New Roman"/>
          <w:lang w:eastAsia="es-ES"/>
        </w:rPr>
        <w:t xml:space="preserve">de los beneficiarios </w:t>
      </w:r>
      <w:r w:rsidR="00B65F10" w:rsidRPr="00700B30">
        <w:rPr>
          <w:rFonts w:ascii="Times New Roman" w:eastAsia="Times New Roman" w:hAnsi="Times New Roman" w:cs="Times New Roman"/>
          <w:lang w:eastAsia="es-ES"/>
        </w:rPr>
        <w:t>a través de transferencia tecnológica, capacitación y mejor acceso y utiliz</w:t>
      </w:r>
      <w:r>
        <w:rPr>
          <w:rFonts w:ascii="Times New Roman" w:eastAsia="Times New Roman" w:hAnsi="Times New Roman" w:cs="Times New Roman"/>
          <w:lang w:eastAsia="es-ES"/>
        </w:rPr>
        <w:t>ación a los insumos productivos; b) sus capacidades de comercialización y con ello el acceso al mercado o su inserción en cadenas de valores; c) se presta especial atención al objetivo de incremento de ingreso de mujeres rurales, mayormente indígenas y d) el incremento de autoconsumo en consecuencia de una mayor producción de alimentos en AF.</w:t>
      </w:r>
    </w:p>
    <w:p w14:paraId="573E0F9C" w14:textId="77777777" w:rsidR="00B24D7E" w:rsidRPr="00700B30" w:rsidRDefault="00B24D7E" w:rsidP="00700B30">
      <w:pPr>
        <w:jc w:val="both"/>
        <w:rPr>
          <w:rFonts w:ascii="Times New Roman" w:hAnsi="Times New Roman" w:cs="Times New Roman"/>
        </w:rPr>
      </w:pPr>
    </w:p>
    <w:p w14:paraId="02E9A5DF" w14:textId="77777777" w:rsidR="00B24D7E" w:rsidRPr="00646DC3" w:rsidRDefault="00B24D7E" w:rsidP="00700B30">
      <w:pPr>
        <w:jc w:val="both"/>
        <w:rPr>
          <w:rFonts w:ascii="Times New Roman" w:hAnsi="Times New Roman" w:cs="Times New Roman"/>
          <w:lang w:val="es-MX"/>
        </w:rPr>
      </w:pPr>
      <w:r w:rsidRPr="00700B30">
        <w:rPr>
          <w:rFonts w:ascii="Times New Roman" w:hAnsi="Times New Roman" w:cs="Times New Roman"/>
          <w:lang w:val="es-ES"/>
        </w:rPr>
        <w:t xml:space="preserve">El Proyecto en su segunda fase, se enfocó en </w:t>
      </w:r>
      <w:r w:rsidRPr="00700B30">
        <w:rPr>
          <w:rFonts w:ascii="Times New Roman" w:hAnsi="Times New Roman" w:cs="Times New Roman"/>
          <w:lang w:val="es-MX"/>
        </w:rPr>
        <w:t>el desarrollo rural, con énfasis en el aspecto agropecu</w:t>
      </w:r>
      <w:r w:rsidR="00646DC3">
        <w:rPr>
          <w:rFonts w:ascii="Times New Roman" w:hAnsi="Times New Roman" w:cs="Times New Roman"/>
          <w:lang w:val="es-MX"/>
        </w:rPr>
        <w:t>ario y artesanal, focalizado en e</w:t>
      </w:r>
      <w:r w:rsidRPr="00700B30">
        <w:rPr>
          <w:rFonts w:ascii="Times New Roman" w:hAnsi="Times New Roman" w:cs="Times New Roman"/>
          <w:lang w:val="es-MX"/>
        </w:rPr>
        <w:t xml:space="preserve">l fomento de iniciativas productivas generadoras de ingresos y </w:t>
      </w:r>
      <w:r w:rsidR="00646DC3">
        <w:rPr>
          <w:rFonts w:ascii="Times New Roman" w:hAnsi="Times New Roman" w:cs="Times New Roman"/>
          <w:lang w:val="es-MX"/>
        </w:rPr>
        <w:t xml:space="preserve">en </w:t>
      </w:r>
      <w:r w:rsidRPr="00700B30">
        <w:rPr>
          <w:rFonts w:ascii="Times New Roman" w:hAnsi="Times New Roman" w:cs="Times New Roman"/>
          <w:lang w:val="es-MX"/>
        </w:rPr>
        <w:t>mejorar los sistemas productivos familiares para la producción de alimentos.</w:t>
      </w:r>
      <w:r w:rsidR="00646DC3">
        <w:rPr>
          <w:rFonts w:ascii="Times New Roman" w:hAnsi="Times New Roman" w:cs="Times New Roman"/>
          <w:lang w:val="es-MX"/>
        </w:rPr>
        <w:t xml:space="preserve"> </w:t>
      </w:r>
      <w:r w:rsidRPr="00700B30">
        <w:rPr>
          <w:rFonts w:ascii="Times New Roman" w:hAnsi="Times New Roman" w:cs="Times New Roman"/>
          <w:lang w:val="es-GT"/>
        </w:rPr>
        <w:t>El proyecto enfocó su atención a dos estratos de población, el primero a productores organizados y organizaciones con potencial económico para la generación de ingresos, y el segundo a familias de infra y subsistencia que producen para el autoconsumo. En total se estimó según documento de formulación del Proyecto, la participación y atención de 3,300 familias.</w:t>
      </w:r>
    </w:p>
    <w:p w14:paraId="588D1974" w14:textId="77777777" w:rsidR="003A0A23" w:rsidRPr="00700B30" w:rsidRDefault="003A0A23" w:rsidP="00700B30">
      <w:pPr>
        <w:jc w:val="both"/>
        <w:rPr>
          <w:rFonts w:ascii="Times New Roman" w:hAnsi="Times New Roman" w:cs="Times New Roman"/>
        </w:rPr>
      </w:pPr>
    </w:p>
    <w:p w14:paraId="38164EE3" w14:textId="77777777" w:rsidR="002743E7" w:rsidRPr="00700B30" w:rsidRDefault="002743E7" w:rsidP="00700B30">
      <w:pPr>
        <w:jc w:val="both"/>
        <w:rPr>
          <w:rFonts w:ascii="Times New Roman" w:hAnsi="Times New Roman" w:cs="Times New Roman"/>
          <w:lang w:val="es-GT"/>
        </w:rPr>
      </w:pPr>
      <w:r w:rsidRPr="00700B30">
        <w:rPr>
          <w:rFonts w:ascii="Times New Roman" w:hAnsi="Times New Roman" w:cs="Times New Roman"/>
          <w:lang w:val="es-GT"/>
        </w:rPr>
        <w:t xml:space="preserve">El proyecto inicialmente estaba diseñado para ser implementado en 24 meses (01 Abril 2009 al 31 de marzo 2011), sin embargo el mismo fue extendido e implementado en 33 meses, finalizando la etapa de ejecución el 30 de septiembre 2011 y una etapa de cierre de 3 meses, considerada entre los meses de octubre a diciembre 2011. </w:t>
      </w:r>
    </w:p>
    <w:p w14:paraId="4ADD197B" w14:textId="77777777" w:rsidR="00B24D7E" w:rsidRDefault="00B24D7E" w:rsidP="00700B30">
      <w:pPr>
        <w:jc w:val="both"/>
        <w:rPr>
          <w:rFonts w:ascii="Times New Roman" w:hAnsi="Times New Roman" w:cs="Times New Roman"/>
        </w:rPr>
      </w:pPr>
    </w:p>
    <w:p w14:paraId="1F27544F" w14:textId="77777777" w:rsidR="00646DC3" w:rsidRPr="00CF6E68" w:rsidRDefault="00CF6E68" w:rsidP="0061445A">
      <w:pPr>
        <w:jc w:val="both"/>
        <w:outlineLvl w:val="0"/>
        <w:rPr>
          <w:rFonts w:ascii="Times New Roman" w:hAnsi="Times New Roman" w:cs="Times New Roman"/>
          <w:b/>
        </w:rPr>
      </w:pPr>
      <w:r w:rsidRPr="00CF6E68">
        <w:rPr>
          <w:rFonts w:ascii="Times New Roman" w:hAnsi="Times New Roman" w:cs="Times New Roman"/>
          <w:b/>
        </w:rPr>
        <w:t xml:space="preserve">Gestión </w:t>
      </w:r>
    </w:p>
    <w:p w14:paraId="42DA1F42" w14:textId="77777777" w:rsidR="00CF6E68" w:rsidRDefault="00CF6E68" w:rsidP="00700B30">
      <w:pPr>
        <w:jc w:val="both"/>
        <w:rPr>
          <w:rFonts w:ascii="Times New Roman" w:hAnsi="Times New Roman" w:cs="Times New Roman"/>
        </w:rPr>
      </w:pPr>
    </w:p>
    <w:p w14:paraId="44EE0889" w14:textId="77777777" w:rsidR="00A6283E" w:rsidRPr="00700B30" w:rsidRDefault="00A6283E" w:rsidP="00A6283E">
      <w:pPr>
        <w:jc w:val="both"/>
        <w:rPr>
          <w:rFonts w:ascii="Times New Roman" w:hAnsi="Times New Roman" w:cs="Times New Roman"/>
          <w:bCs/>
          <w:lang w:val="es-GT"/>
        </w:rPr>
      </w:pPr>
      <w:r w:rsidRPr="00700B30">
        <w:rPr>
          <w:rFonts w:ascii="Times New Roman" w:hAnsi="Times New Roman" w:cs="Times New Roman"/>
          <w:bCs/>
          <w:lang w:val="es-GT"/>
        </w:rPr>
        <w:t>El siguiente cuadro presenta la ejecución financiera del proyecto de fecha 9 de noviembre 2011, la cual asciende al (95.85%).</w:t>
      </w:r>
    </w:p>
    <w:p w14:paraId="7ACA3646" w14:textId="77777777" w:rsidR="00A6283E" w:rsidRPr="00700B30" w:rsidRDefault="00A6283E" w:rsidP="00A6283E">
      <w:pPr>
        <w:jc w:val="both"/>
        <w:rPr>
          <w:rFonts w:ascii="Times New Roman" w:hAnsi="Times New Roman" w:cs="Times New Roman"/>
          <w:bCs/>
          <w:lang w:val="es-GT"/>
        </w:rPr>
      </w:pPr>
    </w:p>
    <w:tbl>
      <w:tblPr>
        <w:tblW w:w="8136" w:type="dxa"/>
        <w:jc w:val="center"/>
        <w:tblInd w:w="59" w:type="dxa"/>
        <w:tblCellMar>
          <w:left w:w="70" w:type="dxa"/>
          <w:right w:w="70" w:type="dxa"/>
        </w:tblCellMar>
        <w:tblLook w:val="04A0" w:firstRow="1" w:lastRow="0" w:firstColumn="1" w:lastColumn="0" w:noHBand="0" w:noVBand="1"/>
      </w:tblPr>
      <w:tblGrid>
        <w:gridCol w:w="1118"/>
        <w:gridCol w:w="3648"/>
        <w:gridCol w:w="993"/>
        <w:gridCol w:w="940"/>
        <w:gridCol w:w="940"/>
        <w:gridCol w:w="1062"/>
      </w:tblGrid>
      <w:tr w:rsidR="00A6283E" w:rsidRPr="00A6283E" w14:paraId="6E4DB755" w14:textId="77777777" w:rsidTr="00A6283E">
        <w:trPr>
          <w:trHeight w:val="167"/>
          <w:jc w:val="center"/>
        </w:trPr>
        <w:tc>
          <w:tcPr>
            <w:tcW w:w="454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118B6"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Proyecto ATINAR I y II</w:t>
            </w:r>
          </w:p>
        </w:tc>
        <w:tc>
          <w:tcPr>
            <w:tcW w:w="3589" w:type="dxa"/>
            <w:gridSpan w:val="4"/>
            <w:tcBorders>
              <w:top w:val="single" w:sz="4" w:space="0" w:color="auto"/>
              <w:left w:val="nil"/>
              <w:bottom w:val="single" w:sz="4" w:space="0" w:color="auto"/>
              <w:right w:val="single" w:sz="4" w:space="0" w:color="auto"/>
            </w:tcBorders>
            <w:shd w:val="clear" w:color="auto" w:fill="auto"/>
            <w:noWrap/>
            <w:vAlign w:val="bottom"/>
            <w:hideMark/>
          </w:tcPr>
          <w:p w14:paraId="6B6DCC91"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PROJECT TOTAL</w:t>
            </w:r>
          </w:p>
        </w:tc>
      </w:tr>
      <w:tr w:rsidR="00A6283E" w:rsidRPr="00A6283E" w14:paraId="72521F56" w14:textId="77777777" w:rsidTr="00A6283E">
        <w:trPr>
          <w:trHeight w:val="217"/>
          <w:jc w:val="center"/>
        </w:trPr>
        <w:tc>
          <w:tcPr>
            <w:tcW w:w="4547" w:type="dxa"/>
            <w:gridSpan w:val="2"/>
            <w:vMerge/>
            <w:tcBorders>
              <w:top w:val="single" w:sz="4" w:space="0" w:color="auto"/>
              <w:left w:val="single" w:sz="4" w:space="0" w:color="auto"/>
              <w:bottom w:val="single" w:sz="4" w:space="0" w:color="auto"/>
              <w:right w:val="single" w:sz="4" w:space="0" w:color="auto"/>
            </w:tcBorders>
            <w:vAlign w:val="center"/>
            <w:hideMark/>
          </w:tcPr>
          <w:p w14:paraId="367F1E02"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p>
        </w:tc>
        <w:tc>
          <w:tcPr>
            <w:tcW w:w="2694" w:type="dxa"/>
            <w:gridSpan w:val="3"/>
            <w:tcBorders>
              <w:top w:val="single" w:sz="4" w:space="0" w:color="auto"/>
              <w:left w:val="nil"/>
              <w:bottom w:val="single" w:sz="4" w:space="0" w:color="auto"/>
              <w:right w:val="single" w:sz="4" w:space="0" w:color="auto"/>
            </w:tcBorders>
            <w:shd w:val="clear" w:color="auto" w:fill="auto"/>
            <w:noWrap/>
            <w:vAlign w:val="bottom"/>
            <w:hideMark/>
          </w:tcPr>
          <w:p w14:paraId="45AEFC62"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TOTAL</w:t>
            </w:r>
          </w:p>
        </w:tc>
        <w:tc>
          <w:tcPr>
            <w:tcW w:w="895" w:type="dxa"/>
            <w:vMerge w:val="restart"/>
            <w:tcBorders>
              <w:top w:val="nil"/>
              <w:left w:val="single" w:sz="4" w:space="0" w:color="auto"/>
              <w:bottom w:val="single" w:sz="4" w:space="0" w:color="auto"/>
              <w:right w:val="single" w:sz="4" w:space="0" w:color="auto"/>
            </w:tcBorders>
            <w:shd w:val="clear" w:color="auto" w:fill="auto"/>
            <w:vAlign w:val="center"/>
            <w:hideMark/>
          </w:tcPr>
          <w:p w14:paraId="65150448"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 xml:space="preserve">(%) </w:t>
            </w:r>
            <w:proofErr w:type="spellStart"/>
            <w:r w:rsidRPr="00A6283E">
              <w:rPr>
                <w:rFonts w:ascii="Times New Roman" w:eastAsia="Times New Roman" w:hAnsi="Times New Roman" w:cs="Times New Roman"/>
                <w:bCs/>
                <w:color w:val="000000"/>
                <w:sz w:val="20"/>
                <w:szCs w:val="20"/>
                <w:lang w:val="es-ES" w:eastAsia="es-ES"/>
              </w:rPr>
              <w:t>Ejec</w:t>
            </w:r>
            <w:proofErr w:type="spellEnd"/>
            <w:r w:rsidRPr="00A6283E">
              <w:rPr>
                <w:rFonts w:ascii="Times New Roman" w:eastAsia="Times New Roman" w:hAnsi="Times New Roman" w:cs="Times New Roman"/>
                <w:bCs/>
                <w:color w:val="000000"/>
                <w:sz w:val="20"/>
                <w:szCs w:val="20"/>
                <w:lang w:val="es-ES" w:eastAsia="es-ES"/>
              </w:rPr>
              <w:t>. Acumulada al 09/11/2011</w:t>
            </w:r>
          </w:p>
        </w:tc>
      </w:tr>
      <w:tr w:rsidR="00A6283E" w:rsidRPr="00A6283E" w14:paraId="52C31F49" w14:textId="77777777" w:rsidTr="00A6283E">
        <w:trPr>
          <w:trHeight w:val="167"/>
          <w:jc w:val="center"/>
        </w:trPr>
        <w:tc>
          <w:tcPr>
            <w:tcW w:w="4547" w:type="dxa"/>
            <w:gridSpan w:val="2"/>
            <w:vMerge/>
            <w:tcBorders>
              <w:top w:val="single" w:sz="4" w:space="0" w:color="auto"/>
              <w:left w:val="single" w:sz="4" w:space="0" w:color="auto"/>
              <w:bottom w:val="single" w:sz="4" w:space="0" w:color="auto"/>
              <w:right w:val="single" w:sz="4" w:space="0" w:color="auto"/>
            </w:tcBorders>
            <w:vAlign w:val="center"/>
            <w:hideMark/>
          </w:tcPr>
          <w:p w14:paraId="538916A2"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p>
        </w:tc>
        <w:tc>
          <w:tcPr>
            <w:tcW w:w="993" w:type="dxa"/>
            <w:tcBorders>
              <w:top w:val="nil"/>
              <w:left w:val="nil"/>
              <w:bottom w:val="single" w:sz="4" w:space="0" w:color="auto"/>
              <w:right w:val="single" w:sz="4" w:space="0" w:color="auto"/>
            </w:tcBorders>
            <w:shd w:val="clear" w:color="auto" w:fill="auto"/>
            <w:noWrap/>
            <w:vAlign w:val="bottom"/>
            <w:hideMark/>
          </w:tcPr>
          <w:p w14:paraId="4D363060"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proofErr w:type="spellStart"/>
            <w:r w:rsidRPr="00A6283E">
              <w:rPr>
                <w:rFonts w:ascii="Times New Roman" w:eastAsia="Times New Roman" w:hAnsi="Times New Roman" w:cs="Times New Roman"/>
                <w:bCs/>
                <w:color w:val="000000"/>
                <w:sz w:val="20"/>
                <w:szCs w:val="20"/>
                <w:lang w:val="es-ES" w:eastAsia="es-ES"/>
              </w:rPr>
              <w:t>budgets</w:t>
            </w:r>
            <w:proofErr w:type="spellEnd"/>
          </w:p>
        </w:tc>
        <w:tc>
          <w:tcPr>
            <w:tcW w:w="850" w:type="dxa"/>
            <w:tcBorders>
              <w:top w:val="nil"/>
              <w:left w:val="nil"/>
              <w:bottom w:val="single" w:sz="4" w:space="0" w:color="auto"/>
              <w:right w:val="single" w:sz="4" w:space="0" w:color="auto"/>
            </w:tcBorders>
            <w:shd w:val="clear" w:color="auto" w:fill="auto"/>
            <w:noWrap/>
            <w:vAlign w:val="bottom"/>
            <w:hideMark/>
          </w:tcPr>
          <w:p w14:paraId="32EA9F74"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expenses</w:t>
            </w:r>
          </w:p>
        </w:tc>
        <w:tc>
          <w:tcPr>
            <w:tcW w:w="851" w:type="dxa"/>
            <w:tcBorders>
              <w:top w:val="nil"/>
              <w:left w:val="nil"/>
              <w:bottom w:val="single" w:sz="4" w:space="0" w:color="auto"/>
              <w:right w:val="single" w:sz="4" w:space="0" w:color="auto"/>
            </w:tcBorders>
            <w:shd w:val="clear" w:color="auto" w:fill="auto"/>
            <w:noWrap/>
            <w:vAlign w:val="bottom"/>
            <w:hideMark/>
          </w:tcPr>
          <w:p w14:paraId="6DF3F10A"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balance</w:t>
            </w:r>
          </w:p>
        </w:tc>
        <w:tc>
          <w:tcPr>
            <w:tcW w:w="895" w:type="dxa"/>
            <w:vMerge/>
            <w:tcBorders>
              <w:top w:val="nil"/>
              <w:left w:val="single" w:sz="4" w:space="0" w:color="auto"/>
              <w:bottom w:val="single" w:sz="4" w:space="0" w:color="auto"/>
              <w:right w:val="single" w:sz="4" w:space="0" w:color="auto"/>
            </w:tcBorders>
            <w:vAlign w:val="center"/>
            <w:hideMark/>
          </w:tcPr>
          <w:p w14:paraId="42730CE9"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p>
        </w:tc>
      </w:tr>
      <w:tr w:rsidR="00A6283E" w:rsidRPr="00A6283E" w14:paraId="43FD4CCF" w14:textId="77777777" w:rsidTr="00A6283E">
        <w:trPr>
          <w:trHeight w:val="400"/>
          <w:jc w:val="center"/>
        </w:trPr>
        <w:tc>
          <w:tcPr>
            <w:tcW w:w="899" w:type="dxa"/>
            <w:tcBorders>
              <w:top w:val="nil"/>
              <w:left w:val="single" w:sz="4" w:space="0" w:color="auto"/>
              <w:bottom w:val="single" w:sz="4" w:space="0" w:color="auto"/>
              <w:right w:val="single" w:sz="4" w:space="0" w:color="auto"/>
            </w:tcBorders>
            <w:shd w:val="clear" w:color="auto" w:fill="auto"/>
            <w:vAlign w:val="bottom"/>
            <w:hideMark/>
          </w:tcPr>
          <w:p w14:paraId="229408CA"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proofErr w:type="spellStart"/>
            <w:r w:rsidRPr="00A6283E">
              <w:rPr>
                <w:rFonts w:ascii="Times New Roman" w:eastAsia="Times New Roman" w:hAnsi="Times New Roman" w:cs="Times New Roman"/>
                <w:color w:val="000000"/>
                <w:sz w:val="20"/>
                <w:szCs w:val="20"/>
                <w:lang w:val="es-ES" w:eastAsia="es-ES"/>
              </w:rPr>
              <w:t>Funds</w:t>
            </w:r>
            <w:proofErr w:type="spellEnd"/>
            <w:r w:rsidRPr="00A6283E">
              <w:rPr>
                <w:rFonts w:ascii="Times New Roman" w:eastAsia="Times New Roman" w:hAnsi="Times New Roman" w:cs="Times New Roman"/>
                <w:color w:val="000000"/>
                <w:sz w:val="20"/>
                <w:szCs w:val="20"/>
                <w:lang w:val="es-ES" w:eastAsia="es-ES"/>
              </w:rPr>
              <w:t xml:space="preserve"> </w:t>
            </w:r>
            <w:proofErr w:type="spellStart"/>
            <w:r w:rsidRPr="00A6283E">
              <w:rPr>
                <w:rFonts w:ascii="Times New Roman" w:eastAsia="Times New Roman" w:hAnsi="Times New Roman" w:cs="Times New Roman"/>
                <w:color w:val="000000"/>
                <w:sz w:val="20"/>
                <w:szCs w:val="20"/>
                <w:lang w:val="es-ES" w:eastAsia="es-ES"/>
              </w:rPr>
              <w:t>Received</w:t>
            </w:r>
            <w:proofErr w:type="spellEnd"/>
          </w:p>
        </w:tc>
        <w:tc>
          <w:tcPr>
            <w:tcW w:w="3648" w:type="dxa"/>
            <w:tcBorders>
              <w:top w:val="nil"/>
              <w:left w:val="nil"/>
              <w:bottom w:val="single" w:sz="4" w:space="0" w:color="auto"/>
              <w:right w:val="single" w:sz="4" w:space="0" w:color="auto"/>
            </w:tcBorders>
            <w:shd w:val="clear" w:color="auto" w:fill="auto"/>
            <w:vAlign w:val="bottom"/>
            <w:hideMark/>
          </w:tcPr>
          <w:p w14:paraId="2421FBFC" w14:textId="77777777" w:rsidR="00A6283E" w:rsidRPr="00A6283E" w:rsidRDefault="00A6283E" w:rsidP="00A6283E">
            <w:pPr>
              <w:jc w:val="both"/>
              <w:rPr>
                <w:rFonts w:ascii="Times New Roman" w:eastAsia="Times New Roman" w:hAnsi="Times New Roman" w:cs="Times New Roman"/>
                <w:color w:val="000000"/>
                <w:sz w:val="20"/>
                <w:szCs w:val="20"/>
                <w:lang w:val="en-US" w:eastAsia="es-ES"/>
              </w:rPr>
            </w:pPr>
            <w:r w:rsidRPr="00A6283E">
              <w:rPr>
                <w:rFonts w:ascii="Times New Roman" w:eastAsia="Times New Roman" w:hAnsi="Times New Roman" w:cs="Times New Roman"/>
                <w:color w:val="000000"/>
                <w:sz w:val="20"/>
                <w:szCs w:val="20"/>
                <w:lang w:val="en-US" w:eastAsia="es-ES"/>
              </w:rPr>
              <w:t>3001 contributions received in advance (parent)</w:t>
            </w:r>
          </w:p>
        </w:tc>
        <w:tc>
          <w:tcPr>
            <w:tcW w:w="993" w:type="dxa"/>
            <w:tcBorders>
              <w:top w:val="nil"/>
              <w:left w:val="nil"/>
              <w:bottom w:val="single" w:sz="4" w:space="0" w:color="auto"/>
              <w:right w:val="single" w:sz="4" w:space="0" w:color="auto"/>
            </w:tcBorders>
            <w:shd w:val="clear" w:color="auto" w:fill="auto"/>
            <w:noWrap/>
            <w:vAlign w:val="bottom"/>
            <w:hideMark/>
          </w:tcPr>
          <w:p w14:paraId="46CCBAC7" w14:textId="77777777" w:rsidR="00A6283E" w:rsidRPr="00A6283E" w:rsidRDefault="00A6283E" w:rsidP="00A6283E">
            <w:pPr>
              <w:jc w:val="both"/>
              <w:rPr>
                <w:rFonts w:ascii="Times New Roman" w:eastAsia="Times New Roman" w:hAnsi="Times New Roman" w:cs="Times New Roman"/>
                <w:color w:val="000000"/>
                <w:sz w:val="20"/>
                <w:szCs w:val="20"/>
                <w:lang w:val="en-US" w:eastAsia="es-ES"/>
              </w:rPr>
            </w:pPr>
            <w:r w:rsidRPr="00A6283E">
              <w:rPr>
                <w:rFonts w:ascii="Times New Roman" w:eastAsia="Times New Roman" w:hAnsi="Times New Roman" w:cs="Times New Roman"/>
                <w:color w:val="000000"/>
                <w:sz w:val="20"/>
                <w:szCs w:val="20"/>
                <w:lang w:val="en-US" w:eastAsia="es-ES"/>
              </w:rPr>
              <w:t> </w:t>
            </w:r>
          </w:p>
        </w:tc>
        <w:tc>
          <w:tcPr>
            <w:tcW w:w="850" w:type="dxa"/>
            <w:tcBorders>
              <w:top w:val="nil"/>
              <w:left w:val="nil"/>
              <w:bottom w:val="single" w:sz="4" w:space="0" w:color="auto"/>
              <w:right w:val="single" w:sz="4" w:space="0" w:color="auto"/>
            </w:tcBorders>
            <w:shd w:val="clear" w:color="auto" w:fill="auto"/>
            <w:noWrap/>
            <w:vAlign w:val="bottom"/>
            <w:hideMark/>
          </w:tcPr>
          <w:p w14:paraId="37264207"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-4,407,772</w:t>
            </w:r>
          </w:p>
        </w:tc>
        <w:tc>
          <w:tcPr>
            <w:tcW w:w="851" w:type="dxa"/>
            <w:tcBorders>
              <w:top w:val="nil"/>
              <w:left w:val="nil"/>
              <w:bottom w:val="single" w:sz="4" w:space="0" w:color="auto"/>
              <w:right w:val="single" w:sz="4" w:space="0" w:color="auto"/>
            </w:tcBorders>
            <w:shd w:val="clear" w:color="auto" w:fill="auto"/>
            <w:noWrap/>
            <w:vAlign w:val="bottom"/>
            <w:hideMark/>
          </w:tcPr>
          <w:p w14:paraId="51BFE94C"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4,407,772</w:t>
            </w:r>
          </w:p>
        </w:tc>
        <w:tc>
          <w:tcPr>
            <w:tcW w:w="895" w:type="dxa"/>
            <w:vMerge/>
            <w:tcBorders>
              <w:top w:val="nil"/>
              <w:left w:val="single" w:sz="4" w:space="0" w:color="auto"/>
              <w:bottom w:val="single" w:sz="4" w:space="0" w:color="auto"/>
              <w:right w:val="single" w:sz="4" w:space="0" w:color="auto"/>
            </w:tcBorders>
            <w:vAlign w:val="center"/>
            <w:hideMark/>
          </w:tcPr>
          <w:p w14:paraId="4A65F1E2"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p>
        </w:tc>
      </w:tr>
      <w:tr w:rsidR="00A6283E" w:rsidRPr="00A6283E" w14:paraId="72A8AD0E" w14:textId="77777777" w:rsidTr="00A6283E">
        <w:trPr>
          <w:trHeight w:val="217"/>
          <w:jc w:val="center"/>
        </w:trPr>
        <w:tc>
          <w:tcPr>
            <w:tcW w:w="899" w:type="dxa"/>
            <w:tcBorders>
              <w:top w:val="nil"/>
              <w:left w:val="single" w:sz="4" w:space="0" w:color="auto"/>
              <w:bottom w:val="single" w:sz="4" w:space="0" w:color="auto"/>
              <w:right w:val="single" w:sz="4" w:space="0" w:color="auto"/>
            </w:tcBorders>
            <w:shd w:val="clear" w:color="auto" w:fill="auto"/>
            <w:noWrap/>
            <w:vAlign w:val="bottom"/>
            <w:hideMark/>
          </w:tcPr>
          <w:p w14:paraId="677875A4"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 </w:t>
            </w:r>
          </w:p>
        </w:tc>
        <w:tc>
          <w:tcPr>
            <w:tcW w:w="3648" w:type="dxa"/>
            <w:tcBorders>
              <w:top w:val="nil"/>
              <w:left w:val="nil"/>
              <w:bottom w:val="single" w:sz="4" w:space="0" w:color="auto"/>
              <w:right w:val="single" w:sz="4" w:space="0" w:color="auto"/>
            </w:tcBorders>
            <w:shd w:val="clear" w:color="auto" w:fill="auto"/>
            <w:noWrap/>
            <w:vAlign w:val="bottom"/>
            <w:hideMark/>
          </w:tcPr>
          <w:p w14:paraId="1346099F"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 xml:space="preserve">total </w:t>
            </w:r>
            <w:proofErr w:type="spellStart"/>
            <w:r w:rsidRPr="00A6283E">
              <w:rPr>
                <w:rFonts w:ascii="Times New Roman" w:eastAsia="Times New Roman" w:hAnsi="Times New Roman" w:cs="Times New Roman"/>
                <w:color w:val="000000"/>
                <w:sz w:val="20"/>
                <w:szCs w:val="20"/>
                <w:lang w:val="es-ES" w:eastAsia="es-ES"/>
              </w:rPr>
              <w:t>funds</w:t>
            </w:r>
            <w:proofErr w:type="spellEnd"/>
            <w:r w:rsidRPr="00A6283E">
              <w:rPr>
                <w:rFonts w:ascii="Times New Roman" w:eastAsia="Times New Roman" w:hAnsi="Times New Roman" w:cs="Times New Roman"/>
                <w:color w:val="000000"/>
                <w:sz w:val="20"/>
                <w:szCs w:val="20"/>
                <w:lang w:val="es-ES" w:eastAsia="es-ES"/>
              </w:rPr>
              <w:t xml:space="preserve"> </w:t>
            </w:r>
            <w:proofErr w:type="spellStart"/>
            <w:r w:rsidRPr="00A6283E">
              <w:rPr>
                <w:rFonts w:ascii="Times New Roman" w:eastAsia="Times New Roman" w:hAnsi="Times New Roman" w:cs="Times New Roman"/>
                <w:color w:val="000000"/>
                <w:sz w:val="20"/>
                <w:szCs w:val="20"/>
                <w:lang w:val="es-ES" w:eastAsia="es-ES"/>
              </w:rPr>
              <w:t>received</w:t>
            </w:r>
            <w:proofErr w:type="spellEnd"/>
          </w:p>
        </w:tc>
        <w:tc>
          <w:tcPr>
            <w:tcW w:w="993" w:type="dxa"/>
            <w:tcBorders>
              <w:top w:val="nil"/>
              <w:left w:val="nil"/>
              <w:bottom w:val="single" w:sz="4" w:space="0" w:color="auto"/>
              <w:right w:val="single" w:sz="4" w:space="0" w:color="auto"/>
            </w:tcBorders>
            <w:shd w:val="clear" w:color="auto" w:fill="auto"/>
            <w:noWrap/>
            <w:vAlign w:val="bottom"/>
            <w:hideMark/>
          </w:tcPr>
          <w:p w14:paraId="00EBC19A"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 </w:t>
            </w:r>
          </w:p>
        </w:tc>
        <w:tc>
          <w:tcPr>
            <w:tcW w:w="850" w:type="dxa"/>
            <w:tcBorders>
              <w:top w:val="nil"/>
              <w:left w:val="nil"/>
              <w:bottom w:val="single" w:sz="4" w:space="0" w:color="auto"/>
              <w:right w:val="single" w:sz="4" w:space="0" w:color="auto"/>
            </w:tcBorders>
            <w:shd w:val="clear" w:color="auto" w:fill="auto"/>
            <w:noWrap/>
            <w:vAlign w:val="bottom"/>
            <w:hideMark/>
          </w:tcPr>
          <w:p w14:paraId="6F6EE432"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-4,407,772</w:t>
            </w:r>
          </w:p>
        </w:tc>
        <w:tc>
          <w:tcPr>
            <w:tcW w:w="851" w:type="dxa"/>
            <w:tcBorders>
              <w:top w:val="nil"/>
              <w:left w:val="nil"/>
              <w:bottom w:val="single" w:sz="4" w:space="0" w:color="auto"/>
              <w:right w:val="single" w:sz="4" w:space="0" w:color="auto"/>
            </w:tcBorders>
            <w:shd w:val="clear" w:color="auto" w:fill="auto"/>
            <w:noWrap/>
            <w:vAlign w:val="bottom"/>
            <w:hideMark/>
          </w:tcPr>
          <w:p w14:paraId="0C35354D"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4,407,772</w:t>
            </w:r>
          </w:p>
        </w:tc>
        <w:tc>
          <w:tcPr>
            <w:tcW w:w="895" w:type="dxa"/>
            <w:vMerge/>
            <w:tcBorders>
              <w:top w:val="nil"/>
              <w:left w:val="single" w:sz="4" w:space="0" w:color="auto"/>
              <w:bottom w:val="single" w:sz="4" w:space="0" w:color="auto"/>
              <w:right w:val="single" w:sz="4" w:space="0" w:color="auto"/>
            </w:tcBorders>
            <w:vAlign w:val="center"/>
            <w:hideMark/>
          </w:tcPr>
          <w:p w14:paraId="704A6F9C"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p>
        </w:tc>
      </w:tr>
      <w:tr w:rsidR="00A6283E" w:rsidRPr="00A6283E" w14:paraId="29634394" w14:textId="77777777" w:rsidTr="00A6283E">
        <w:trPr>
          <w:trHeight w:val="167"/>
          <w:jc w:val="center"/>
        </w:trPr>
        <w:tc>
          <w:tcPr>
            <w:tcW w:w="89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03D5D1"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proofErr w:type="spellStart"/>
            <w:r w:rsidRPr="00A6283E">
              <w:rPr>
                <w:rFonts w:ascii="Times New Roman" w:eastAsia="Times New Roman" w:hAnsi="Times New Roman" w:cs="Times New Roman"/>
                <w:color w:val="000000"/>
                <w:sz w:val="20"/>
                <w:szCs w:val="20"/>
                <w:lang w:val="es-ES" w:eastAsia="es-ES"/>
              </w:rPr>
              <w:t>Expenditure</w:t>
            </w:r>
            <w:proofErr w:type="spellEnd"/>
          </w:p>
        </w:tc>
        <w:tc>
          <w:tcPr>
            <w:tcW w:w="3648" w:type="dxa"/>
            <w:tcBorders>
              <w:top w:val="nil"/>
              <w:left w:val="nil"/>
              <w:bottom w:val="single" w:sz="4" w:space="0" w:color="auto"/>
              <w:right w:val="single" w:sz="4" w:space="0" w:color="auto"/>
            </w:tcBorders>
            <w:shd w:val="clear" w:color="auto" w:fill="auto"/>
            <w:noWrap/>
            <w:vAlign w:val="bottom"/>
            <w:hideMark/>
          </w:tcPr>
          <w:p w14:paraId="4A2E83C6"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 xml:space="preserve">5013 </w:t>
            </w:r>
            <w:proofErr w:type="spellStart"/>
            <w:r w:rsidRPr="00A6283E">
              <w:rPr>
                <w:rFonts w:ascii="Times New Roman" w:eastAsia="Times New Roman" w:hAnsi="Times New Roman" w:cs="Times New Roman"/>
                <w:color w:val="000000"/>
                <w:sz w:val="20"/>
                <w:szCs w:val="20"/>
                <w:lang w:val="es-ES" w:eastAsia="es-ES"/>
              </w:rPr>
              <w:t>Consultants</w:t>
            </w:r>
            <w:proofErr w:type="spellEnd"/>
            <w:r w:rsidRPr="00A6283E">
              <w:rPr>
                <w:rFonts w:ascii="Times New Roman" w:eastAsia="Times New Roman" w:hAnsi="Times New Roman" w:cs="Times New Roman"/>
                <w:color w:val="000000"/>
                <w:sz w:val="20"/>
                <w:szCs w:val="20"/>
                <w:lang w:val="es-ES" w:eastAsia="es-ES"/>
              </w:rPr>
              <w:t xml:space="preserve"> (</w:t>
            </w:r>
            <w:proofErr w:type="spellStart"/>
            <w:r w:rsidRPr="00A6283E">
              <w:rPr>
                <w:rFonts w:ascii="Times New Roman" w:eastAsia="Times New Roman" w:hAnsi="Times New Roman" w:cs="Times New Roman"/>
                <w:color w:val="000000"/>
                <w:sz w:val="20"/>
                <w:szCs w:val="20"/>
                <w:lang w:val="es-ES" w:eastAsia="es-ES"/>
              </w:rPr>
              <w:t>Parent</w:t>
            </w:r>
            <w:proofErr w:type="spellEnd"/>
            <w:r w:rsidRPr="00A6283E">
              <w:rPr>
                <w:rFonts w:ascii="Times New Roman" w:eastAsia="Times New Roman" w:hAnsi="Times New Roman" w:cs="Times New Roman"/>
                <w:color w:val="000000"/>
                <w:sz w:val="20"/>
                <w:szCs w:val="20"/>
                <w:lang w:val="es-ES" w:eastAsia="es-ES"/>
              </w:rPr>
              <w:t xml:space="preserve"> </w:t>
            </w:r>
            <w:proofErr w:type="spellStart"/>
            <w:r w:rsidRPr="00A6283E">
              <w:rPr>
                <w:rFonts w:ascii="Times New Roman" w:eastAsia="Times New Roman" w:hAnsi="Times New Roman" w:cs="Times New Roman"/>
                <w:color w:val="000000"/>
                <w:sz w:val="20"/>
                <w:szCs w:val="20"/>
                <w:lang w:val="es-ES" w:eastAsia="es-ES"/>
              </w:rPr>
              <w:t>Account</w:t>
            </w:r>
            <w:proofErr w:type="spellEnd"/>
            <w:r w:rsidRPr="00A6283E">
              <w:rPr>
                <w:rFonts w:ascii="Times New Roman" w:eastAsia="Times New Roman" w:hAnsi="Times New Roman" w:cs="Times New Roman"/>
                <w:color w:val="000000"/>
                <w:sz w:val="20"/>
                <w:szCs w:val="20"/>
                <w:lang w:val="es-ES" w:eastAsia="es-ES"/>
              </w:rPr>
              <w:t>)</w:t>
            </w:r>
          </w:p>
        </w:tc>
        <w:tc>
          <w:tcPr>
            <w:tcW w:w="993" w:type="dxa"/>
            <w:tcBorders>
              <w:top w:val="nil"/>
              <w:left w:val="nil"/>
              <w:bottom w:val="single" w:sz="4" w:space="0" w:color="auto"/>
              <w:right w:val="single" w:sz="4" w:space="0" w:color="auto"/>
            </w:tcBorders>
            <w:shd w:val="clear" w:color="auto" w:fill="auto"/>
            <w:noWrap/>
            <w:vAlign w:val="bottom"/>
            <w:hideMark/>
          </w:tcPr>
          <w:p w14:paraId="75821C64"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1,145,551</w:t>
            </w:r>
          </w:p>
        </w:tc>
        <w:tc>
          <w:tcPr>
            <w:tcW w:w="850" w:type="dxa"/>
            <w:tcBorders>
              <w:top w:val="nil"/>
              <w:left w:val="nil"/>
              <w:bottom w:val="single" w:sz="4" w:space="0" w:color="auto"/>
              <w:right w:val="single" w:sz="4" w:space="0" w:color="auto"/>
            </w:tcBorders>
            <w:shd w:val="clear" w:color="auto" w:fill="auto"/>
            <w:noWrap/>
            <w:vAlign w:val="bottom"/>
            <w:hideMark/>
          </w:tcPr>
          <w:p w14:paraId="1B8823E3"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1,128,384</w:t>
            </w:r>
          </w:p>
        </w:tc>
        <w:tc>
          <w:tcPr>
            <w:tcW w:w="851" w:type="dxa"/>
            <w:tcBorders>
              <w:top w:val="nil"/>
              <w:left w:val="nil"/>
              <w:bottom w:val="single" w:sz="4" w:space="0" w:color="auto"/>
              <w:right w:val="single" w:sz="4" w:space="0" w:color="auto"/>
            </w:tcBorders>
            <w:shd w:val="clear" w:color="auto" w:fill="auto"/>
            <w:noWrap/>
            <w:vAlign w:val="bottom"/>
            <w:hideMark/>
          </w:tcPr>
          <w:p w14:paraId="50D5832C"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17,167</w:t>
            </w:r>
          </w:p>
        </w:tc>
        <w:tc>
          <w:tcPr>
            <w:tcW w:w="895" w:type="dxa"/>
            <w:tcBorders>
              <w:top w:val="nil"/>
              <w:left w:val="nil"/>
              <w:bottom w:val="single" w:sz="4" w:space="0" w:color="auto"/>
              <w:right w:val="single" w:sz="4" w:space="0" w:color="auto"/>
            </w:tcBorders>
            <w:shd w:val="clear" w:color="auto" w:fill="auto"/>
            <w:noWrap/>
            <w:vAlign w:val="bottom"/>
            <w:hideMark/>
          </w:tcPr>
          <w:p w14:paraId="2A16024E"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98.50</w:t>
            </w:r>
          </w:p>
        </w:tc>
      </w:tr>
      <w:tr w:rsidR="00A6283E" w:rsidRPr="00A6283E" w14:paraId="54270074" w14:textId="77777777" w:rsidTr="00A6283E">
        <w:trPr>
          <w:trHeight w:val="167"/>
          <w:jc w:val="center"/>
        </w:trPr>
        <w:tc>
          <w:tcPr>
            <w:tcW w:w="899" w:type="dxa"/>
            <w:vMerge/>
            <w:tcBorders>
              <w:top w:val="nil"/>
              <w:left w:val="single" w:sz="4" w:space="0" w:color="auto"/>
              <w:bottom w:val="single" w:sz="4" w:space="0" w:color="000000"/>
              <w:right w:val="single" w:sz="4" w:space="0" w:color="auto"/>
            </w:tcBorders>
            <w:vAlign w:val="center"/>
            <w:hideMark/>
          </w:tcPr>
          <w:p w14:paraId="6024450D"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p>
        </w:tc>
        <w:tc>
          <w:tcPr>
            <w:tcW w:w="3648" w:type="dxa"/>
            <w:tcBorders>
              <w:top w:val="nil"/>
              <w:left w:val="nil"/>
              <w:bottom w:val="single" w:sz="4" w:space="0" w:color="auto"/>
              <w:right w:val="single" w:sz="4" w:space="0" w:color="auto"/>
            </w:tcBorders>
            <w:shd w:val="clear" w:color="auto" w:fill="auto"/>
            <w:vAlign w:val="bottom"/>
            <w:hideMark/>
          </w:tcPr>
          <w:p w14:paraId="6A79FE14"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 xml:space="preserve">5014 </w:t>
            </w:r>
            <w:proofErr w:type="spellStart"/>
            <w:r w:rsidRPr="00A6283E">
              <w:rPr>
                <w:rFonts w:ascii="Times New Roman" w:eastAsia="Times New Roman" w:hAnsi="Times New Roman" w:cs="Times New Roman"/>
                <w:color w:val="000000"/>
                <w:sz w:val="20"/>
                <w:szCs w:val="20"/>
                <w:lang w:val="es-ES" w:eastAsia="es-ES"/>
              </w:rPr>
              <w:t>Contracts</w:t>
            </w:r>
            <w:proofErr w:type="spellEnd"/>
            <w:r w:rsidRPr="00A6283E">
              <w:rPr>
                <w:rFonts w:ascii="Times New Roman" w:eastAsia="Times New Roman" w:hAnsi="Times New Roman" w:cs="Times New Roman"/>
                <w:color w:val="000000"/>
                <w:sz w:val="20"/>
                <w:szCs w:val="20"/>
                <w:lang w:val="es-ES" w:eastAsia="es-ES"/>
              </w:rPr>
              <w:t xml:space="preserve"> (</w:t>
            </w:r>
            <w:proofErr w:type="spellStart"/>
            <w:r w:rsidRPr="00A6283E">
              <w:rPr>
                <w:rFonts w:ascii="Times New Roman" w:eastAsia="Times New Roman" w:hAnsi="Times New Roman" w:cs="Times New Roman"/>
                <w:color w:val="000000"/>
                <w:sz w:val="20"/>
                <w:szCs w:val="20"/>
                <w:lang w:val="es-ES" w:eastAsia="es-ES"/>
              </w:rPr>
              <w:t>Parent</w:t>
            </w:r>
            <w:proofErr w:type="spellEnd"/>
            <w:r w:rsidRPr="00A6283E">
              <w:rPr>
                <w:rFonts w:ascii="Times New Roman" w:eastAsia="Times New Roman" w:hAnsi="Times New Roman" w:cs="Times New Roman"/>
                <w:color w:val="000000"/>
                <w:sz w:val="20"/>
                <w:szCs w:val="20"/>
                <w:lang w:val="es-ES" w:eastAsia="es-ES"/>
              </w:rPr>
              <w:t xml:space="preserve"> </w:t>
            </w:r>
            <w:proofErr w:type="spellStart"/>
            <w:r w:rsidRPr="00A6283E">
              <w:rPr>
                <w:rFonts w:ascii="Times New Roman" w:eastAsia="Times New Roman" w:hAnsi="Times New Roman" w:cs="Times New Roman"/>
                <w:color w:val="000000"/>
                <w:sz w:val="20"/>
                <w:szCs w:val="20"/>
                <w:lang w:val="es-ES" w:eastAsia="es-ES"/>
              </w:rPr>
              <w:t>Account</w:t>
            </w:r>
            <w:proofErr w:type="spellEnd"/>
            <w:r w:rsidRPr="00A6283E">
              <w:rPr>
                <w:rFonts w:ascii="Times New Roman" w:eastAsia="Times New Roman" w:hAnsi="Times New Roman" w:cs="Times New Roman"/>
                <w:color w:val="000000"/>
                <w:sz w:val="20"/>
                <w:szCs w:val="20"/>
                <w:lang w:val="es-ES" w:eastAsia="es-ES"/>
              </w:rPr>
              <w:t>)</w:t>
            </w:r>
          </w:p>
        </w:tc>
        <w:tc>
          <w:tcPr>
            <w:tcW w:w="993" w:type="dxa"/>
            <w:tcBorders>
              <w:top w:val="nil"/>
              <w:left w:val="nil"/>
              <w:bottom w:val="single" w:sz="4" w:space="0" w:color="auto"/>
              <w:right w:val="single" w:sz="4" w:space="0" w:color="auto"/>
            </w:tcBorders>
            <w:shd w:val="clear" w:color="auto" w:fill="auto"/>
            <w:noWrap/>
            <w:vAlign w:val="bottom"/>
            <w:hideMark/>
          </w:tcPr>
          <w:p w14:paraId="651536DB"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733,703</w:t>
            </w:r>
          </w:p>
        </w:tc>
        <w:tc>
          <w:tcPr>
            <w:tcW w:w="850" w:type="dxa"/>
            <w:tcBorders>
              <w:top w:val="nil"/>
              <w:left w:val="nil"/>
              <w:bottom w:val="single" w:sz="4" w:space="0" w:color="auto"/>
              <w:right w:val="single" w:sz="4" w:space="0" w:color="auto"/>
            </w:tcBorders>
            <w:shd w:val="clear" w:color="auto" w:fill="auto"/>
            <w:noWrap/>
            <w:vAlign w:val="bottom"/>
            <w:hideMark/>
          </w:tcPr>
          <w:p w14:paraId="79E6577B"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668,965</w:t>
            </w:r>
          </w:p>
        </w:tc>
        <w:tc>
          <w:tcPr>
            <w:tcW w:w="851" w:type="dxa"/>
            <w:tcBorders>
              <w:top w:val="nil"/>
              <w:left w:val="nil"/>
              <w:bottom w:val="single" w:sz="4" w:space="0" w:color="auto"/>
              <w:right w:val="single" w:sz="4" w:space="0" w:color="auto"/>
            </w:tcBorders>
            <w:shd w:val="clear" w:color="auto" w:fill="auto"/>
            <w:noWrap/>
            <w:vAlign w:val="bottom"/>
            <w:hideMark/>
          </w:tcPr>
          <w:p w14:paraId="14B7076B"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64,738</w:t>
            </w:r>
          </w:p>
        </w:tc>
        <w:tc>
          <w:tcPr>
            <w:tcW w:w="895" w:type="dxa"/>
            <w:tcBorders>
              <w:top w:val="nil"/>
              <w:left w:val="nil"/>
              <w:bottom w:val="single" w:sz="4" w:space="0" w:color="auto"/>
              <w:right w:val="single" w:sz="4" w:space="0" w:color="auto"/>
            </w:tcBorders>
            <w:shd w:val="clear" w:color="auto" w:fill="auto"/>
            <w:noWrap/>
            <w:vAlign w:val="bottom"/>
            <w:hideMark/>
          </w:tcPr>
          <w:p w14:paraId="4CA43F8E"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91.18</w:t>
            </w:r>
          </w:p>
        </w:tc>
      </w:tr>
      <w:tr w:rsidR="00A6283E" w:rsidRPr="00A6283E" w14:paraId="6CC2606C" w14:textId="77777777" w:rsidTr="00A6283E">
        <w:trPr>
          <w:trHeight w:val="292"/>
          <w:jc w:val="center"/>
        </w:trPr>
        <w:tc>
          <w:tcPr>
            <w:tcW w:w="899" w:type="dxa"/>
            <w:vMerge/>
            <w:tcBorders>
              <w:top w:val="nil"/>
              <w:left w:val="single" w:sz="4" w:space="0" w:color="auto"/>
              <w:bottom w:val="single" w:sz="4" w:space="0" w:color="000000"/>
              <w:right w:val="single" w:sz="4" w:space="0" w:color="auto"/>
            </w:tcBorders>
            <w:vAlign w:val="center"/>
            <w:hideMark/>
          </w:tcPr>
          <w:p w14:paraId="7749421F"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p>
        </w:tc>
        <w:tc>
          <w:tcPr>
            <w:tcW w:w="3648" w:type="dxa"/>
            <w:tcBorders>
              <w:top w:val="nil"/>
              <w:left w:val="nil"/>
              <w:bottom w:val="single" w:sz="4" w:space="0" w:color="auto"/>
              <w:right w:val="single" w:sz="4" w:space="0" w:color="auto"/>
            </w:tcBorders>
            <w:shd w:val="clear" w:color="auto" w:fill="auto"/>
            <w:vAlign w:val="bottom"/>
            <w:hideMark/>
          </w:tcPr>
          <w:p w14:paraId="507A9340" w14:textId="77777777" w:rsidR="00A6283E" w:rsidRPr="00A6283E" w:rsidRDefault="00A6283E" w:rsidP="00A6283E">
            <w:pPr>
              <w:jc w:val="both"/>
              <w:rPr>
                <w:rFonts w:ascii="Times New Roman" w:eastAsia="Times New Roman" w:hAnsi="Times New Roman" w:cs="Times New Roman"/>
                <w:color w:val="000000"/>
                <w:sz w:val="20"/>
                <w:szCs w:val="20"/>
                <w:lang w:val="en-US" w:eastAsia="es-ES"/>
              </w:rPr>
            </w:pPr>
            <w:r w:rsidRPr="00A6283E">
              <w:rPr>
                <w:rFonts w:ascii="Times New Roman" w:eastAsia="Times New Roman" w:hAnsi="Times New Roman" w:cs="Times New Roman"/>
                <w:color w:val="000000"/>
                <w:sz w:val="20"/>
                <w:szCs w:val="20"/>
                <w:lang w:val="en-US" w:eastAsia="es-ES"/>
              </w:rPr>
              <w:t xml:space="preserve">5020 Locally Contracted </w:t>
            </w:r>
            <w:proofErr w:type="spellStart"/>
            <w:r w:rsidRPr="00A6283E">
              <w:rPr>
                <w:rFonts w:ascii="Times New Roman" w:eastAsia="Times New Roman" w:hAnsi="Times New Roman" w:cs="Times New Roman"/>
                <w:color w:val="000000"/>
                <w:sz w:val="20"/>
                <w:szCs w:val="20"/>
                <w:lang w:val="en-US" w:eastAsia="es-ES"/>
              </w:rPr>
              <w:t>Labour</w:t>
            </w:r>
            <w:proofErr w:type="spellEnd"/>
            <w:r w:rsidRPr="00A6283E">
              <w:rPr>
                <w:rFonts w:ascii="Times New Roman" w:eastAsia="Times New Roman" w:hAnsi="Times New Roman" w:cs="Times New Roman"/>
                <w:color w:val="000000"/>
                <w:sz w:val="20"/>
                <w:szCs w:val="20"/>
                <w:lang w:val="en-US" w:eastAsia="es-ES"/>
              </w:rPr>
              <w:t xml:space="preserve"> (Parent Account)</w:t>
            </w:r>
          </w:p>
        </w:tc>
        <w:tc>
          <w:tcPr>
            <w:tcW w:w="993" w:type="dxa"/>
            <w:tcBorders>
              <w:top w:val="nil"/>
              <w:left w:val="nil"/>
              <w:bottom w:val="single" w:sz="4" w:space="0" w:color="auto"/>
              <w:right w:val="single" w:sz="4" w:space="0" w:color="auto"/>
            </w:tcBorders>
            <w:shd w:val="clear" w:color="auto" w:fill="auto"/>
            <w:noWrap/>
            <w:vAlign w:val="bottom"/>
            <w:hideMark/>
          </w:tcPr>
          <w:p w14:paraId="096FDEFC"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86,016</w:t>
            </w:r>
          </w:p>
        </w:tc>
        <w:tc>
          <w:tcPr>
            <w:tcW w:w="850" w:type="dxa"/>
            <w:tcBorders>
              <w:top w:val="nil"/>
              <w:left w:val="nil"/>
              <w:bottom w:val="single" w:sz="4" w:space="0" w:color="auto"/>
              <w:right w:val="single" w:sz="4" w:space="0" w:color="auto"/>
            </w:tcBorders>
            <w:shd w:val="clear" w:color="auto" w:fill="auto"/>
            <w:noWrap/>
            <w:vAlign w:val="bottom"/>
            <w:hideMark/>
          </w:tcPr>
          <w:p w14:paraId="23CA3022"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86,851</w:t>
            </w:r>
          </w:p>
        </w:tc>
        <w:tc>
          <w:tcPr>
            <w:tcW w:w="851" w:type="dxa"/>
            <w:tcBorders>
              <w:top w:val="nil"/>
              <w:left w:val="nil"/>
              <w:bottom w:val="single" w:sz="4" w:space="0" w:color="auto"/>
              <w:right w:val="single" w:sz="4" w:space="0" w:color="auto"/>
            </w:tcBorders>
            <w:shd w:val="clear" w:color="auto" w:fill="auto"/>
            <w:noWrap/>
            <w:vAlign w:val="bottom"/>
            <w:hideMark/>
          </w:tcPr>
          <w:p w14:paraId="1EA53FE0"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-835</w:t>
            </w:r>
          </w:p>
        </w:tc>
        <w:tc>
          <w:tcPr>
            <w:tcW w:w="895" w:type="dxa"/>
            <w:tcBorders>
              <w:top w:val="nil"/>
              <w:left w:val="nil"/>
              <w:bottom w:val="single" w:sz="4" w:space="0" w:color="auto"/>
              <w:right w:val="single" w:sz="4" w:space="0" w:color="auto"/>
            </w:tcBorders>
            <w:shd w:val="clear" w:color="auto" w:fill="auto"/>
            <w:noWrap/>
            <w:vAlign w:val="bottom"/>
            <w:hideMark/>
          </w:tcPr>
          <w:p w14:paraId="44903EB4"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100.97</w:t>
            </w:r>
          </w:p>
        </w:tc>
      </w:tr>
      <w:tr w:rsidR="00A6283E" w:rsidRPr="00A6283E" w14:paraId="0D38EA0D" w14:textId="77777777" w:rsidTr="00A6283E">
        <w:trPr>
          <w:trHeight w:val="167"/>
          <w:jc w:val="center"/>
        </w:trPr>
        <w:tc>
          <w:tcPr>
            <w:tcW w:w="899" w:type="dxa"/>
            <w:vMerge/>
            <w:tcBorders>
              <w:top w:val="nil"/>
              <w:left w:val="single" w:sz="4" w:space="0" w:color="auto"/>
              <w:bottom w:val="single" w:sz="4" w:space="0" w:color="000000"/>
              <w:right w:val="single" w:sz="4" w:space="0" w:color="auto"/>
            </w:tcBorders>
            <w:vAlign w:val="center"/>
            <w:hideMark/>
          </w:tcPr>
          <w:p w14:paraId="77F9F1B0"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p>
        </w:tc>
        <w:tc>
          <w:tcPr>
            <w:tcW w:w="3648" w:type="dxa"/>
            <w:tcBorders>
              <w:top w:val="nil"/>
              <w:left w:val="nil"/>
              <w:bottom w:val="single" w:sz="4" w:space="0" w:color="auto"/>
              <w:right w:val="single" w:sz="4" w:space="0" w:color="auto"/>
            </w:tcBorders>
            <w:shd w:val="clear" w:color="auto" w:fill="auto"/>
            <w:vAlign w:val="bottom"/>
            <w:hideMark/>
          </w:tcPr>
          <w:p w14:paraId="4AB9E0DA"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5021 Travel (</w:t>
            </w:r>
            <w:proofErr w:type="spellStart"/>
            <w:r w:rsidRPr="00A6283E">
              <w:rPr>
                <w:rFonts w:ascii="Times New Roman" w:eastAsia="Times New Roman" w:hAnsi="Times New Roman" w:cs="Times New Roman"/>
                <w:color w:val="000000"/>
                <w:sz w:val="20"/>
                <w:szCs w:val="20"/>
                <w:lang w:val="es-ES" w:eastAsia="es-ES"/>
              </w:rPr>
              <w:t>Parent</w:t>
            </w:r>
            <w:proofErr w:type="spellEnd"/>
            <w:r w:rsidRPr="00A6283E">
              <w:rPr>
                <w:rFonts w:ascii="Times New Roman" w:eastAsia="Times New Roman" w:hAnsi="Times New Roman" w:cs="Times New Roman"/>
                <w:color w:val="000000"/>
                <w:sz w:val="20"/>
                <w:szCs w:val="20"/>
                <w:lang w:val="es-ES" w:eastAsia="es-ES"/>
              </w:rPr>
              <w:t xml:space="preserve"> </w:t>
            </w:r>
            <w:proofErr w:type="spellStart"/>
            <w:r w:rsidRPr="00A6283E">
              <w:rPr>
                <w:rFonts w:ascii="Times New Roman" w:eastAsia="Times New Roman" w:hAnsi="Times New Roman" w:cs="Times New Roman"/>
                <w:color w:val="000000"/>
                <w:sz w:val="20"/>
                <w:szCs w:val="20"/>
                <w:lang w:val="es-ES" w:eastAsia="es-ES"/>
              </w:rPr>
              <w:t>Account</w:t>
            </w:r>
            <w:proofErr w:type="spellEnd"/>
            <w:r w:rsidRPr="00A6283E">
              <w:rPr>
                <w:rFonts w:ascii="Times New Roman" w:eastAsia="Times New Roman" w:hAnsi="Times New Roman" w:cs="Times New Roman"/>
                <w:color w:val="000000"/>
                <w:sz w:val="20"/>
                <w:szCs w:val="20"/>
                <w:lang w:val="es-ES" w:eastAsia="es-ES"/>
              </w:rPr>
              <w:t>)</w:t>
            </w:r>
          </w:p>
        </w:tc>
        <w:tc>
          <w:tcPr>
            <w:tcW w:w="993" w:type="dxa"/>
            <w:tcBorders>
              <w:top w:val="nil"/>
              <w:left w:val="nil"/>
              <w:bottom w:val="single" w:sz="4" w:space="0" w:color="auto"/>
              <w:right w:val="single" w:sz="4" w:space="0" w:color="auto"/>
            </w:tcBorders>
            <w:shd w:val="clear" w:color="auto" w:fill="auto"/>
            <w:noWrap/>
            <w:vAlign w:val="bottom"/>
            <w:hideMark/>
          </w:tcPr>
          <w:p w14:paraId="57F3E508"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129,171</w:t>
            </w:r>
          </w:p>
        </w:tc>
        <w:tc>
          <w:tcPr>
            <w:tcW w:w="850" w:type="dxa"/>
            <w:tcBorders>
              <w:top w:val="nil"/>
              <w:left w:val="nil"/>
              <w:bottom w:val="single" w:sz="4" w:space="0" w:color="auto"/>
              <w:right w:val="single" w:sz="4" w:space="0" w:color="auto"/>
            </w:tcBorders>
            <w:shd w:val="clear" w:color="auto" w:fill="auto"/>
            <w:noWrap/>
            <w:vAlign w:val="bottom"/>
            <w:hideMark/>
          </w:tcPr>
          <w:p w14:paraId="42A65BF1"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121,773</w:t>
            </w:r>
          </w:p>
        </w:tc>
        <w:tc>
          <w:tcPr>
            <w:tcW w:w="851" w:type="dxa"/>
            <w:tcBorders>
              <w:top w:val="nil"/>
              <w:left w:val="nil"/>
              <w:bottom w:val="single" w:sz="4" w:space="0" w:color="auto"/>
              <w:right w:val="single" w:sz="4" w:space="0" w:color="auto"/>
            </w:tcBorders>
            <w:shd w:val="clear" w:color="auto" w:fill="auto"/>
            <w:noWrap/>
            <w:vAlign w:val="bottom"/>
            <w:hideMark/>
          </w:tcPr>
          <w:p w14:paraId="032205F2"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7,398</w:t>
            </w:r>
          </w:p>
        </w:tc>
        <w:tc>
          <w:tcPr>
            <w:tcW w:w="895" w:type="dxa"/>
            <w:tcBorders>
              <w:top w:val="nil"/>
              <w:left w:val="nil"/>
              <w:bottom w:val="single" w:sz="4" w:space="0" w:color="auto"/>
              <w:right w:val="single" w:sz="4" w:space="0" w:color="auto"/>
            </w:tcBorders>
            <w:shd w:val="clear" w:color="auto" w:fill="auto"/>
            <w:noWrap/>
            <w:vAlign w:val="bottom"/>
            <w:hideMark/>
          </w:tcPr>
          <w:p w14:paraId="4B4ABCC7"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94.27</w:t>
            </w:r>
          </w:p>
        </w:tc>
      </w:tr>
      <w:tr w:rsidR="00A6283E" w:rsidRPr="00A6283E" w14:paraId="018E7814" w14:textId="77777777" w:rsidTr="00A6283E">
        <w:trPr>
          <w:trHeight w:val="167"/>
          <w:jc w:val="center"/>
        </w:trPr>
        <w:tc>
          <w:tcPr>
            <w:tcW w:w="899" w:type="dxa"/>
            <w:vMerge/>
            <w:tcBorders>
              <w:top w:val="nil"/>
              <w:left w:val="single" w:sz="4" w:space="0" w:color="auto"/>
              <w:bottom w:val="single" w:sz="4" w:space="0" w:color="000000"/>
              <w:right w:val="single" w:sz="4" w:space="0" w:color="auto"/>
            </w:tcBorders>
            <w:vAlign w:val="center"/>
            <w:hideMark/>
          </w:tcPr>
          <w:p w14:paraId="5B77B157"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p>
        </w:tc>
        <w:tc>
          <w:tcPr>
            <w:tcW w:w="3648" w:type="dxa"/>
            <w:tcBorders>
              <w:top w:val="nil"/>
              <w:left w:val="nil"/>
              <w:bottom w:val="single" w:sz="4" w:space="0" w:color="auto"/>
              <w:right w:val="single" w:sz="4" w:space="0" w:color="auto"/>
            </w:tcBorders>
            <w:shd w:val="clear" w:color="auto" w:fill="auto"/>
            <w:vAlign w:val="bottom"/>
            <w:hideMark/>
          </w:tcPr>
          <w:p w14:paraId="19DB2E6D"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5023 Training (</w:t>
            </w:r>
            <w:proofErr w:type="spellStart"/>
            <w:r w:rsidRPr="00A6283E">
              <w:rPr>
                <w:rFonts w:ascii="Times New Roman" w:eastAsia="Times New Roman" w:hAnsi="Times New Roman" w:cs="Times New Roman"/>
                <w:color w:val="000000"/>
                <w:sz w:val="20"/>
                <w:szCs w:val="20"/>
                <w:lang w:val="es-ES" w:eastAsia="es-ES"/>
              </w:rPr>
              <w:t>Parent</w:t>
            </w:r>
            <w:proofErr w:type="spellEnd"/>
            <w:r w:rsidRPr="00A6283E">
              <w:rPr>
                <w:rFonts w:ascii="Times New Roman" w:eastAsia="Times New Roman" w:hAnsi="Times New Roman" w:cs="Times New Roman"/>
                <w:color w:val="000000"/>
                <w:sz w:val="20"/>
                <w:szCs w:val="20"/>
                <w:lang w:val="es-ES" w:eastAsia="es-ES"/>
              </w:rPr>
              <w:t xml:space="preserve"> </w:t>
            </w:r>
            <w:proofErr w:type="spellStart"/>
            <w:r w:rsidRPr="00A6283E">
              <w:rPr>
                <w:rFonts w:ascii="Times New Roman" w:eastAsia="Times New Roman" w:hAnsi="Times New Roman" w:cs="Times New Roman"/>
                <w:color w:val="000000"/>
                <w:sz w:val="20"/>
                <w:szCs w:val="20"/>
                <w:lang w:val="es-ES" w:eastAsia="es-ES"/>
              </w:rPr>
              <w:t>Account</w:t>
            </w:r>
            <w:proofErr w:type="spellEnd"/>
            <w:r w:rsidRPr="00A6283E">
              <w:rPr>
                <w:rFonts w:ascii="Times New Roman" w:eastAsia="Times New Roman" w:hAnsi="Times New Roman" w:cs="Times New Roman"/>
                <w:color w:val="000000"/>
                <w:sz w:val="20"/>
                <w:szCs w:val="20"/>
                <w:lang w:val="es-ES" w:eastAsia="es-ES"/>
              </w:rPr>
              <w:t>)</w:t>
            </w:r>
          </w:p>
        </w:tc>
        <w:tc>
          <w:tcPr>
            <w:tcW w:w="993" w:type="dxa"/>
            <w:tcBorders>
              <w:top w:val="nil"/>
              <w:left w:val="nil"/>
              <w:bottom w:val="single" w:sz="4" w:space="0" w:color="auto"/>
              <w:right w:val="single" w:sz="4" w:space="0" w:color="auto"/>
            </w:tcBorders>
            <w:shd w:val="clear" w:color="auto" w:fill="auto"/>
            <w:noWrap/>
            <w:vAlign w:val="bottom"/>
            <w:hideMark/>
          </w:tcPr>
          <w:p w14:paraId="0890BA95"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209,452</w:t>
            </w:r>
          </w:p>
        </w:tc>
        <w:tc>
          <w:tcPr>
            <w:tcW w:w="850" w:type="dxa"/>
            <w:tcBorders>
              <w:top w:val="nil"/>
              <w:left w:val="nil"/>
              <w:bottom w:val="single" w:sz="4" w:space="0" w:color="auto"/>
              <w:right w:val="single" w:sz="4" w:space="0" w:color="auto"/>
            </w:tcBorders>
            <w:shd w:val="clear" w:color="auto" w:fill="auto"/>
            <w:noWrap/>
            <w:vAlign w:val="bottom"/>
            <w:hideMark/>
          </w:tcPr>
          <w:p w14:paraId="33529556"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187,951</w:t>
            </w:r>
          </w:p>
        </w:tc>
        <w:tc>
          <w:tcPr>
            <w:tcW w:w="851" w:type="dxa"/>
            <w:tcBorders>
              <w:top w:val="nil"/>
              <w:left w:val="nil"/>
              <w:bottom w:val="single" w:sz="4" w:space="0" w:color="auto"/>
              <w:right w:val="single" w:sz="4" w:space="0" w:color="auto"/>
            </w:tcBorders>
            <w:shd w:val="clear" w:color="auto" w:fill="auto"/>
            <w:noWrap/>
            <w:vAlign w:val="bottom"/>
            <w:hideMark/>
          </w:tcPr>
          <w:p w14:paraId="0237C85B"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21,502</w:t>
            </w:r>
          </w:p>
        </w:tc>
        <w:tc>
          <w:tcPr>
            <w:tcW w:w="895" w:type="dxa"/>
            <w:tcBorders>
              <w:top w:val="nil"/>
              <w:left w:val="nil"/>
              <w:bottom w:val="single" w:sz="4" w:space="0" w:color="auto"/>
              <w:right w:val="single" w:sz="4" w:space="0" w:color="auto"/>
            </w:tcBorders>
            <w:shd w:val="clear" w:color="auto" w:fill="auto"/>
            <w:noWrap/>
            <w:vAlign w:val="bottom"/>
            <w:hideMark/>
          </w:tcPr>
          <w:p w14:paraId="310E02CE"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89.73</w:t>
            </w:r>
          </w:p>
        </w:tc>
      </w:tr>
      <w:tr w:rsidR="00A6283E" w:rsidRPr="00A6283E" w14:paraId="16380BB3" w14:textId="77777777" w:rsidTr="00A6283E">
        <w:trPr>
          <w:trHeight w:val="292"/>
          <w:jc w:val="center"/>
        </w:trPr>
        <w:tc>
          <w:tcPr>
            <w:tcW w:w="899" w:type="dxa"/>
            <w:vMerge/>
            <w:tcBorders>
              <w:top w:val="nil"/>
              <w:left w:val="single" w:sz="4" w:space="0" w:color="auto"/>
              <w:bottom w:val="single" w:sz="4" w:space="0" w:color="000000"/>
              <w:right w:val="single" w:sz="4" w:space="0" w:color="auto"/>
            </w:tcBorders>
            <w:vAlign w:val="center"/>
            <w:hideMark/>
          </w:tcPr>
          <w:p w14:paraId="51A13636"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p>
        </w:tc>
        <w:tc>
          <w:tcPr>
            <w:tcW w:w="3648" w:type="dxa"/>
            <w:tcBorders>
              <w:top w:val="nil"/>
              <w:left w:val="nil"/>
              <w:bottom w:val="single" w:sz="4" w:space="0" w:color="auto"/>
              <w:right w:val="single" w:sz="4" w:space="0" w:color="auto"/>
            </w:tcBorders>
            <w:shd w:val="clear" w:color="auto" w:fill="auto"/>
            <w:vAlign w:val="bottom"/>
            <w:hideMark/>
          </w:tcPr>
          <w:p w14:paraId="30A99022"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 xml:space="preserve">5024 </w:t>
            </w:r>
            <w:proofErr w:type="spellStart"/>
            <w:r w:rsidRPr="00A6283E">
              <w:rPr>
                <w:rFonts w:ascii="Times New Roman" w:eastAsia="Times New Roman" w:hAnsi="Times New Roman" w:cs="Times New Roman"/>
                <w:color w:val="000000"/>
                <w:sz w:val="20"/>
                <w:szCs w:val="20"/>
                <w:lang w:val="es-ES" w:eastAsia="es-ES"/>
              </w:rPr>
              <w:t>Expendable</w:t>
            </w:r>
            <w:proofErr w:type="spellEnd"/>
            <w:r w:rsidRPr="00A6283E">
              <w:rPr>
                <w:rFonts w:ascii="Times New Roman" w:eastAsia="Times New Roman" w:hAnsi="Times New Roman" w:cs="Times New Roman"/>
                <w:color w:val="000000"/>
                <w:sz w:val="20"/>
                <w:szCs w:val="20"/>
                <w:lang w:val="es-ES" w:eastAsia="es-ES"/>
              </w:rPr>
              <w:t xml:space="preserve"> </w:t>
            </w:r>
            <w:proofErr w:type="spellStart"/>
            <w:r w:rsidRPr="00A6283E">
              <w:rPr>
                <w:rFonts w:ascii="Times New Roman" w:eastAsia="Times New Roman" w:hAnsi="Times New Roman" w:cs="Times New Roman"/>
                <w:color w:val="000000"/>
                <w:sz w:val="20"/>
                <w:szCs w:val="20"/>
                <w:lang w:val="es-ES" w:eastAsia="es-ES"/>
              </w:rPr>
              <w:t>Procurement</w:t>
            </w:r>
            <w:proofErr w:type="spellEnd"/>
            <w:r w:rsidRPr="00A6283E">
              <w:rPr>
                <w:rFonts w:ascii="Times New Roman" w:eastAsia="Times New Roman" w:hAnsi="Times New Roman" w:cs="Times New Roman"/>
                <w:color w:val="000000"/>
                <w:sz w:val="20"/>
                <w:szCs w:val="20"/>
                <w:lang w:val="es-ES" w:eastAsia="es-ES"/>
              </w:rPr>
              <w:t xml:space="preserve"> (</w:t>
            </w:r>
            <w:proofErr w:type="spellStart"/>
            <w:r w:rsidRPr="00A6283E">
              <w:rPr>
                <w:rFonts w:ascii="Times New Roman" w:eastAsia="Times New Roman" w:hAnsi="Times New Roman" w:cs="Times New Roman"/>
                <w:color w:val="000000"/>
                <w:sz w:val="20"/>
                <w:szCs w:val="20"/>
                <w:lang w:val="es-ES" w:eastAsia="es-ES"/>
              </w:rPr>
              <w:t>Parent</w:t>
            </w:r>
            <w:proofErr w:type="spellEnd"/>
            <w:r w:rsidRPr="00A6283E">
              <w:rPr>
                <w:rFonts w:ascii="Times New Roman" w:eastAsia="Times New Roman" w:hAnsi="Times New Roman" w:cs="Times New Roman"/>
                <w:color w:val="000000"/>
                <w:sz w:val="20"/>
                <w:szCs w:val="20"/>
                <w:lang w:val="es-ES" w:eastAsia="es-ES"/>
              </w:rPr>
              <w:t xml:space="preserve"> </w:t>
            </w:r>
            <w:proofErr w:type="spellStart"/>
            <w:r w:rsidRPr="00A6283E">
              <w:rPr>
                <w:rFonts w:ascii="Times New Roman" w:eastAsia="Times New Roman" w:hAnsi="Times New Roman" w:cs="Times New Roman"/>
                <w:color w:val="000000"/>
                <w:sz w:val="20"/>
                <w:szCs w:val="20"/>
                <w:lang w:val="es-ES" w:eastAsia="es-ES"/>
              </w:rPr>
              <w:t>Account</w:t>
            </w:r>
            <w:proofErr w:type="spellEnd"/>
            <w:r w:rsidRPr="00A6283E">
              <w:rPr>
                <w:rFonts w:ascii="Times New Roman" w:eastAsia="Times New Roman" w:hAnsi="Times New Roman" w:cs="Times New Roman"/>
                <w:color w:val="000000"/>
                <w:sz w:val="20"/>
                <w:szCs w:val="20"/>
                <w:lang w:val="es-ES" w:eastAsia="es-ES"/>
              </w:rPr>
              <w:t>)</w:t>
            </w:r>
          </w:p>
        </w:tc>
        <w:tc>
          <w:tcPr>
            <w:tcW w:w="993" w:type="dxa"/>
            <w:tcBorders>
              <w:top w:val="nil"/>
              <w:left w:val="nil"/>
              <w:bottom w:val="single" w:sz="4" w:space="0" w:color="auto"/>
              <w:right w:val="single" w:sz="4" w:space="0" w:color="auto"/>
            </w:tcBorders>
            <w:shd w:val="clear" w:color="auto" w:fill="auto"/>
            <w:noWrap/>
            <w:vAlign w:val="bottom"/>
            <w:hideMark/>
          </w:tcPr>
          <w:p w14:paraId="740B3779"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1,501,139</w:t>
            </w:r>
          </w:p>
        </w:tc>
        <w:tc>
          <w:tcPr>
            <w:tcW w:w="850" w:type="dxa"/>
            <w:tcBorders>
              <w:top w:val="nil"/>
              <w:left w:val="nil"/>
              <w:bottom w:val="single" w:sz="4" w:space="0" w:color="auto"/>
              <w:right w:val="single" w:sz="4" w:space="0" w:color="auto"/>
            </w:tcBorders>
            <w:shd w:val="clear" w:color="auto" w:fill="auto"/>
            <w:noWrap/>
            <w:vAlign w:val="bottom"/>
            <w:hideMark/>
          </w:tcPr>
          <w:p w14:paraId="6D5C15F7"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1,444,871</w:t>
            </w:r>
          </w:p>
        </w:tc>
        <w:tc>
          <w:tcPr>
            <w:tcW w:w="851" w:type="dxa"/>
            <w:tcBorders>
              <w:top w:val="nil"/>
              <w:left w:val="nil"/>
              <w:bottom w:val="single" w:sz="4" w:space="0" w:color="auto"/>
              <w:right w:val="single" w:sz="4" w:space="0" w:color="auto"/>
            </w:tcBorders>
            <w:shd w:val="clear" w:color="auto" w:fill="auto"/>
            <w:noWrap/>
            <w:vAlign w:val="bottom"/>
            <w:hideMark/>
          </w:tcPr>
          <w:p w14:paraId="00C38C10"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56,268</w:t>
            </w:r>
          </w:p>
        </w:tc>
        <w:tc>
          <w:tcPr>
            <w:tcW w:w="895" w:type="dxa"/>
            <w:tcBorders>
              <w:top w:val="nil"/>
              <w:left w:val="nil"/>
              <w:bottom w:val="single" w:sz="4" w:space="0" w:color="auto"/>
              <w:right w:val="single" w:sz="4" w:space="0" w:color="auto"/>
            </w:tcBorders>
            <w:shd w:val="clear" w:color="auto" w:fill="auto"/>
            <w:noWrap/>
            <w:vAlign w:val="bottom"/>
            <w:hideMark/>
          </w:tcPr>
          <w:p w14:paraId="68E0E181"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96.25</w:t>
            </w:r>
          </w:p>
        </w:tc>
      </w:tr>
      <w:tr w:rsidR="00A6283E" w:rsidRPr="00A6283E" w14:paraId="65730C35" w14:textId="77777777" w:rsidTr="00A6283E">
        <w:trPr>
          <w:trHeight w:val="292"/>
          <w:jc w:val="center"/>
        </w:trPr>
        <w:tc>
          <w:tcPr>
            <w:tcW w:w="899" w:type="dxa"/>
            <w:vMerge/>
            <w:tcBorders>
              <w:top w:val="nil"/>
              <w:left w:val="single" w:sz="4" w:space="0" w:color="auto"/>
              <w:bottom w:val="single" w:sz="4" w:space="0" w:color="000000"/>
              <w:right w:val="single" w:sz="4" w:space="0" w:color="auto"/>
            </w:tcBorders>
            <w:vAlign w:val="center"/>
            <w:hideMark/>
          </w:tcPr>
          <w:p w14:paraId="7F259E4D"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p>
        </w:tc>
        <w:tc>
          <w:tcPr>
            <w:tcW w:w="3648" w:type="dxa"/>
            <w:tcBorders>
              <w:top w:val="nil"/>
              <w:left w:val="nil"/>
              <w:bottom w:val="single" w:sz="4" w:space="0" w:color="auto"/>
              <w:right w:val="single" w:sz="4" w:space="0" w:color="auto"/>
            </w:tcBorders>
            <w:shd w:val="clear" w:color="auto" w:fill="auto"/>
            <w:vAlign w:val="bottom"/>
            <w:hideMark/>
          </w:tcPr>
          <w:p w14:paraId="6136ECBA" w14:textId="77777777" w:rsidR="00A6283E" w:rsidRPr="004D4825" w:rsidRDefault="00A6283E" w:rsidP="00A6283E">
            <w:pPr>
              <w:jc w:val="both"/>
              <w:rPr>
                <w:rFonts w:ascii="Times New Roman" w:eastAsia="Times New Roman" w:hAnsi="Times New Roman" w:cs="Times New Roman"/>
                <w:color w:val="000000"/>
                <w:sz w:val="20"/>
                <w:szCs w:val="20"/>
                <w:lang w:val="fr-FR" w:eastAsia="es-ES"/>
              </w:rPr>
            </w:pPr>
            <w:r w:rsidRPr="004D4825">
              <w:rPr>
                <w:rFonts w:ascii="Times New Roman" w:eastAsia="Times New Roman" w:hAnsi="Times New Roman" w:cs="Times New Roman"/>
                <w:color w:val="000000"/>
                <w:sz w:val="20"/>
                <w:szCs w:val="20"/>
                <w:lang w:val="fr-FR" w:eastAsia="es-ES"/>
              </w:rPr>
              <w:t xml:space="preserve">5025 Non </w:t>
            </w:r>
            <w:proofErr w:type="spellStart"/>
            <w:r w:rsidRPr="004D4825">
              <w:rPr>
                <w:rFonts w:ascii="Times New Roman" w:eastAsia="Times New Roman" w:hAnsi="Times New Roman" w:cs="Times New Roman"/>
                <w:color w:val="000000"/>
                <w:sz w:val="20"/>
                <w:szCs w:val="20"/>
                <w:lang w:val="fr-FR" w:eastAsia="es-ES"/>
              </w:rPr>
              <w:t>Expendable</w:t>
            </w:r>
            <w:proofErr w:type="spellEnd"/>
            <w:r w:rsidRPr="004D4825">
              <w:rPr>
                <w:rFonts w:ascii="Times New Roman" w:eastAsia="Times New Roman" w:hAnsi="Times New Roman" w:cs="Times New Roman"/>
                <w:color w:val="000000"/>
                <w:sz w:val="20"/>
                <w:szCs w:val="20"/>
                <w:lang w:val="fr-FR" w:eastAsia="es-ES"/>
              </w:rPr>
              <w:t xml:space="preserve"> </w:t>
            </w:r>
            <w:proofErr w:type="spellStart"/>
            <w:r w:rsidRPr="004D4825">
              <w:rPr>
                <w:rFonts w:ascii="Times New Roman" w:eastAsia="Times New Roman" w:hAnsi="Times New Roman" w:cs="Times New Roman"/>
                <w:color w:val="000000"/>
                <w:sz w:val="20"/>
                <w:szCs w:val="20"/>
                <w:lang w:val="fr-FR" w:eastAsia="es-ES"/>
              </w:rPr>
              <w:t>Procurement</w:t>
            </w:r>
            <w:proofErr w:type="spellEnd"/>
            <w:r w:rsidRPr="004D4825">
              <w:rPr>
                <w:rFonts w:ascii="Times New Roman" w:eastAsia="Times New Roman" w:hAnsi="Times New Roman" w:cs="Times New Roman"/>
                <w:color w:val="000000"/>
                <w:sz w:val="20"/>
                <w:szCs w:val="20"/>
                <w:lang w:val="fr-FR" w:eastAsia="es-ES"/>
              </w:rPr>
              <w:t xml:space="preserve"> (Parent </w:t>
            </w:r>
            <w:proofErr w:type="spellStart"/>
            <w:r w:rsidRPr="004D4825">
              <w:rPr>
                <w:rFonts w:ascii="Times New Roman" w:eastAsia="Times New Roman" w:hAnsi="Times New Roman" w:cs="Times New Roman"/>
                <w:color w:val="000000"/>
                <w:sz w:val="20"/>
                <w:szCs w:val="20"/>
                <w:lang w:val="fr-FR" w:eastAsia="es-ES"/>
              </w:rPr>
              <w:t>Account</w:t>
            </w:r>
            <w:proofErr w:type="spellEnd"/>
            <w:r w:rsidRPr="004D4825">
              <w:rPr>
                <w:rFonts w:ascii="Times New Roman" w:eastAsia="Times New Roman" w:hAnsi="Times New Roman" w:cs="Times New Roman"/>
                <w:color w:val="000000"/>
                <w:sz w:val="20"/>
                <w:szCs w:val="20"/>
                <w:lang w:val="fr-FR" w:eastAsia="es-ES"/>
              </w:rPr>
              <w:t>)</w:t>
            </w:r>
          </w:p>
        </w:tc>
        <w:tc>
          <w:tcPr>
            <w:tcW w:w="993" w:type="dxa"/>
            <w:tcBorders>
              <w:top w:val="nil"/>
              <w:left w:val="nil"/>
              <w:bottom w:val="single" w:sz="4" w:space="0" w:color="auto"/>
              <w:right w:val="single" w:sz="4" w:space="0" w:color="auto"/>
            </w:tcBorders>
            <w:shd w:val="clear" w:color="auto" w:fill="auto"/>
            <w:noWrap/>
            <w:vAlign w:val="bottom"/>
            <w:hideMark/>
          </w:tcPr>
          <w:p w14:paraId="1324860C"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82,461</w:t>
            </w:r>
          </w:p>
        </w:tc>
        <w:tc>
          <w:tcPr>
            <w:tcW w:w="850" w:type="dxa"/>
            <w:tcBorders>
              <w:top w:val="nil"/>
              <w:left w:val="nil"/>
              <w:bottom w:val="single" w:sz="4" w:space="0" w:color="auto"/>
              <w:right w:val="single" w:sz="4" w:space="0" w:color="auto"/>
            </w:tcBorders>
            <w:shd w:val="clear" w:color="auto" w:fill="auto"/>
            <w:noWrap/>
            <w:vAlign w:val="bottom"/>
            <w:hideMark/>
          </w:tcPr>
          <w:p w14:paraId="7B37321A"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82,461</w:t>
            </w:r>
          </w:p>
        </w:tc>
        <w:tc>
          <w:tcPr>
            <w:tcW w:w="851" w:type="dxa"/>
            <w:tcBorders>
              <w:top w:val="nil"/>
              <w:left w:val="nil"/>
              <w:bottom w:val="single" w:sz="4" w:space="0" w:color="auto"/>
              <w:right w:val="single" w:sz="4" w:space="0" w:color="auto"/>
            </w:tcBorders>
            <w:shd w:val="clear" w:color="auto" w:fill="auto"/>
            <w:noWrap/>
            <w:vAlign w:val="bottom"/>
            <w:hideMark/>
          </w:tcPr>
          <w:p w14:paraId="0F8A150C"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0</w:t>
            </w:r>
          </w:p>
        </w:tc>
        <w:tc>
          <w:tcPr>
            <w:tcW w:w="895" w:type="dxa"/>
            <w:tcBorders>
              <w:top w:val="nil"/>
              <w:left w:val="nil"/>
              <w:bottom w:val="single" w:sz="4" w:space="0" w:color="auto"/>
              <w:right w:val="single" w:sz="4" w:space="0" w:color="auto"/>
            </w:tcBorders>
            <w:shd w:val="clear" w:color="auto" w:fill="auto"/>
            <w:noWrap/>
            <w:vAlign w:val="bottom"/>
            <w:hideMark/>
          </w:tcPr>
          <w:p w14:paraId="3F561BBE"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100.00</w:t>
            </w:r>
          </w:p>
        </w:tc>
      </w:tr>
      <w:tr w:rsidR="00A6283E" w:rsidRPr="00A6283E" w14:paraId="4AA2F0C2" w14:textId="77777777" w:rsidTr="00A6283E">
        <w:trPr>
          <w:trHeight w:val="292"/>
          <w:jc w:val="center"/>
        </w:trPr>
        <w:tc>
          <w:tcPr>
            <w:tcW w:w="899" w:type="dxa"/>
            <w:vMerge/>
            <w:tcBorders>
              <w:top w:val="nil"/>
              <w:left w:val="single" w:sz="4" w:space="0" w:color="auto"/>
              <w:bottom w:val="single" w:sz="4" w:space="0" w:color="000000"/>
              <w:right w:val="single" w:sz="4" w:space="0" w:color="auto"/>
            </w:tcBorders>
            <w:vAlign w:val="center"/>
            <w:hideMark/>
          </w:tcPr>
          <w:p w14:paraId="09A83256"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p>
        </w:tc>
        <w:tc>
          <w:tcPr>
            <w:tcW w:w="3648" w:type="dxa"/>
            <w:tcBorders>
              <w:top w:val="nil"/>
              <w:left w:val="nil"/>
              <w:bottom w:val="single" w:sz="4" w:space="0" w:color="auto"/>
              <w:right w:val="single" w:sz="4" w:space="0" w:color="auto"/>
            </w:tcBorders>
            <w:shd w:val="clear" w:color="auto" w:fill="auto"/>
            <w:vAlign w:val="bottom"/>
            <w:hideMark/>
          </w:tcPr>
          <w:p w14:paraId="149FC1FF" w14:textId="77777777" w:rsidR="00A6283E" w:rsidRPr="00A6283E" w:rsidRDefault="00A6283E" w:rsidP="00A6283E">
            <w:pPr>
              <w:jc w:val="both"/>
              <w:rPr>
                <w:rFonts w:ascii="Times New Roman" w:eastAsia="Times New Roman" w:hAnsi="Times New Roman" w:cs="Times New Roman"/>
                <w:color w:val="000000"/>
                <w:sz w:val="20"/>
                <w:szCs w:val="20"/>
                <w:lang w:val="en-US" w:eastAsia="es-ES"/>
              </w:rPr>
            </w:pPr>
            <w:r w:rsidRPr="00A6283E">
              <w:rPr>
                <w:rFonts w:ascii="Times New Roman" w:eastAsia="Times New Roman" w:hAnsi="Times New Roman" w:cs="Times New Roman"/>
                <w:color w:val="000000"/>
                <w:sz w:val="20"/>
                <w:szCs w:val="20"/>
                <w:lang w:val="en-US" w:eastAsia="es-ES"/>
              </w:rPr>
              <w:t>5027 Technical Support Services (Parent Account)</w:t>
            </w:r>
          </w:p>
        </w:tc>
        <w:tc>
          <w:tcPr>
            <w:tcW w:w="993" w:type="dxa"/>
            <w:tcBorders>
              <w:top w:val="nil"/>
              <w:left w:val="nil"/>
              <w:bottom w:val="single" w:sz="4" w:space="0" w:color="auto"/>
              <w:right w:val="single" w:sz="4" w:space="0" w:color="auto"/>
            </w:tcBorders>
            <w:shd w:val="clear" w:color="auto" w:fill="auto"/>
            <w:noWrap/>
            <w:vAlign w:val="bottom"/>
            <w:hideMark/>
          </w:tcPr>
          <w:p w14:paraId="4FE20251"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14,536</w:t>
            </w:r>
          </w:p>
        </w:tc>
        <w:tc>
          <w:tcPr>
            <w:tcW w:w="850" w:type="dxa"/>
            <w:tcBorders>
              <w:top w:val="nil"/>
              <w:left w:val="nil"/>
              <w:bottom w:val="single" w:sz="4" w:space="0" w:color="auto"/>
              <w:right w:val="single" w:sz="4" w:space="0" w:color="auto"/>
            </w:tcBorders>
            <w:shd w:val="clear" w:color="auto" w:fill="auto"/>
            <w:noWrap/>
            <w:vAlign w:val="bottom"/>
            <w:hideMark/>
          </w:tcPr>
          <w:p w14:paraId="2C7FBD7C"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16,367</w:t>
            </w:r>
          </w:p>
        </w:tc>
        <w:tc>
          <w:tcPr>
            <w:tcW w:w="851" w:type="dxa"/>
            <w:tcBorders>
              <w:top w:val="nil"/>
              <w:left w:val="nil"/>
              <w:bottom w:val="single" w:sz="4" w:space="0" w:color="auto"/>
              <w:right w:val="single" w:sz="4" w:space="0" w:color="auto"/>
            </w:tcBorders>
            <w:shd w:val="clear" w:color="auto" w:fill="auto"/>
            <w:noWrap/>
            <w:vAlign w:val="bottom"/>
            <w:hideMark/>
          </w:tcPr>
          <w:p w14:paraId="3B9512A4"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-1,831</w:t>
            </w:r>
          </w:p>
        </w:tc>
        <w:tc>
          <w:tcPr>
            <w:tcW w:w="895" w:type="dxa"/>
            <w:tcBorders>
              <w:top w:val="nil"/>
              <w:left w:val="nil"/>
              <w:bottom w:val="single" w:sz="4" w:space="0" w:color="auto"/>
              <w:right w:val="single" w:sz="4" w:space="0" w:color="auto"/>
            </w:tcBorders>
            <w:shd w:val="clear" w:color="auto" w:fill="auto"/>
            <w:noWrap/>
            <w:vAlign w:val="bottom"/>
            <w:hideMark/>
          </w:tcPr>
          <w:p w14:paraId="60F8FA30"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112.60</w:t>
            </w:r>
          </w:p>
        </w:tc>
      </w:tr>
      <w:tr w:rsidR="00A6283E" w:rsidRPr="00A6283E" w14:paraId="7A00DD3C" w14:textId="77777777" w:rsidTr="00A6283E">
        <w:trPr>
          <w:trHeight w:val="292"/>
          <w:jc w:val="center"/>
        </w:trPr>
        <w:tc>
          <w:tcPr>
            <w:tcW w:w="899" w:type="dxa"/>
            <w:vMerge/>
            <w:tcBorders>
              <w:top w:val="nil"/>
              <w:left w:val="single" w:sz="4" w:space="0" w:color="auto"/>
              <w:bottom w:val="single" w:sz="4" w:space="0" w:color="000000"/>
              <w:right w:val="single" w:sz="4" w:space="0" w:color="auto"/>
            </w:tcBorders>
            <w:vAlign w:val="center"/>
            <w:hideMark/>
          </w:tcPr>
          <w:p w14:paraId="67FB1CD7"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p>
        </w:tc>
        <w:tc>
          <w:tcPr>
            <w:tcW w:w="3648" w:type="dxa"/>
            <w:tcBorders>
              <w:top w:val="nil"/>
              <w:left w:val="nil"/>
              <w:bottom w:val="single" w:sz="4" w:space="0" w:color="auto"/>
              <w:right w:val="single" w:sz="4" w:space="0" w:color="auto"/>
            </w:tcBorders>
            <w:shd w:val="clear" w:color="auto" w:fill="auto"/>
            <w:vAlign w:val="bottom"/>
            <w:hideMark/>
          </w:tcPr>
          <w:p w14:paraId="278E4032" w14:textId="77777777" w:rsidR="00A6283E" w:rsidRPr="00A6283E" w:rsidRDefault="00A6283E" w:rsidP="00A6283E">
            <w:pPr>
              <w:jc w:val="both"/>
              <w:rPr>
                <w:rFonts w:ascii="Times New Roman" w:eastAsia="Times New Roman" w:hAnsi="Times New Roman" w:cs="Times New Roman"/>
                <w:color w:val="000000"/>
                <w:sz w:val="20"/>
                <w:szCs w:val="20"/>
                <w:lang w:val="en-US" w:eastAsia="es-ES"/>
              </w:rPr>
            </w:pPr>
            <w:r w:rsidRPr="00A6283E">
              <w:rPr>
                <w:rFonts w:ascii="Times New Roman" w:eastAsia="Times New Roman" w:hAnsi="Times New Roman" w:cs="Times New Roman"/>
                <w:color w:val="000000"/>
                <w:sz w:val="20"/>
                <w:szCs w:val="20"/>
                <w:lang w:val="en-US" w:eastAsia="es-ES"/>
              </w:rPr>
              <w:t>5028 General Operating Expenses (Parent Account)</w:t>
            </w:r>
          </w:p>
        </w:tc>
        <w:tc>
          <w:tcPr>
            <w:tcW w:w="993" w:type="dxa"/>
            <w:tcBorders>
              <w:top w:val="nil"/>
              <w:left w:val="nil"/>
              <w:bottom w:val="single" w:sz="4" w:space="0" w:color="auto"/>
              <w:right w:val="single" w:sz="4" w:space="0" w:color="auto"/>
            </w:tcBorders>
            <w:shd w:val="clear" w:color="auto" w:fill="auto"/>
            <w:noWrap/>
            <w:vAlign w:val="bottom"/>
            <w:hideMark/>
          </w:tcPr>
          <w:p w14:paraId="17417AB5"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217,384</w:t>
            </w:r>
          </w:p>
        </w:tc>
        <w:tc>
          <w:tcPr>
            <w:tcW w:w="850" w:type="dxa"/>
            <w:tcBorders>
              <w:top w:val="nil"/>
              <w:left w:val="nil"/>
              <w:bottom w:val="single" w:sz="4" w:space="0" w:color="auto"/>
              <w:right w:val="single" w:sz="4" w:space="0" w:color="auto"/>
            </w:tcBorders>
            <w:shd w:val="clear" w:color="auto" w:fill="auto"/>
            <w:noWrap/>
            <w:vAlign w:val="bottom"/>
            <w:hideMark/>
          </w:tcPr>
          <w:p w14:paraId="460D429A"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211,079</w:t>
            </w:r>
          </w:p>
        </w:tc>
        <w:tc>
          <w:tcPr>
            <w:tcW w:w="851" w:type="dxa"/>
            <w:tcBorders>
              <w:top w:val="nil"/>
              <w:left w:val="nil"/>
              <w:bottom w:val="single" w:sz="4" w:space="0" w:color="auto"/>
              <w:right w:val="single" w:sz="4" w:space="0" w:color="auto"/>
            </w:tcBorders>
            <w:shd w:val="clear" w:color="auto" w:fill="auto"/>
            <w:noWrap/>
            <w:vAlign w:val="bottom"/>
            <w:hideMark/>
          </w:tcPr>
          <w:p w14:paraId="05C0E76A"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6,305</w:t>
            </w:r>
          </w:p>
        </w:tc>
        <w:tc>
          <w:tcPr>
            <w:tcW w:w="895" w:type="dxa"/>
            <w:tcBorders>
              <w:top w:val="nil"/>
              <w:left w:val="nil"/>
              <w:bottom w:val="single" w:sz="4" w:space="0" w:color="auto"/>
              <w:right w:val="single" w:sz="4" w:space="0" w:color="auto"/>
            </w:tcBorders>
            <w:shd w:val="clear" w:color="auto" w:fill="auto"/>
            <w:noWrap/>
            <w:vAlign w:val="bottom"/>
            <w:hideMark/>
          </w:tcPr>
          <w:p w14:paraId="547A7C56"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97.10</w:t>
            </w:r>
          </w:p>
        </w:tc>
      </w:tr>
      <w:tr w:rsidR="00A6283E" w:rsidRPr="00A6283E" w14:paraId="296D1E6D" w14:textId="77777777" w:rsidTr="00A6283E">
        <w:trPr>
          <w:trHeight w:val="292"/>
          <w:jc w:val="center"/>
        </w:trPr>
        <w:tc>
          <w:tcPr>
            <w:tcW w:w="899" w:type="dxa"/>
            <w:vMerge/>
            <w:tcBorders>
              <w:top w:val="nil"/>
              <w:left w:val="single" w:sz="4" w:space="0" w:color="auto"/>
              <w:bottom w:val="single" w:sz="4" w:space="0" w:color="000000"/>
              <w:right w:val="single" w:sz="4" w:space="0" w:color="auto"/>
            </w:tcBorders>
            <w:vAlign w:val="center"/>
            <w:hideMark/>
          </w:tcPr>
          <w:p w14:paraId="0E343984"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p>
        </w:tc>
        <w:tc>
          <w:tcPr>
            <w:tcW w:w="3648" w:type="dxa"/>
            <w:tcBorders>
              <w:top w:val="nil"/>
              <w:left w:val="nil"/>
              <w:bottom w:val="single" w:sz="4" w:space="0" w:color="auto"/>
              <w:right w:val="single" w:sz="4" w:space="0" w:color="auto"/>
            </w:tcBorders>
            <w:shd w:val="clear" w:color="auto" w:fill="auto"/>
            <w:vAlign w:val="bottom"/>
            <w:hideMark/>
          </w:tcPr>
          <w:p w14:paraId="048F3408"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 xml:space="preserve">5029 </w:t>
            </w:r>
            <w:proofErr w:type="spellStart"/>
            <w:r w:rsidRPr="00A6283E">
              <w:rPr>
                <w:rFonts w:ascii="Times New Roman" w:eastAsia="Times New Roman" w:hAnsi="Times New Roman" w:cs="Times New Roman"/>
                <w:color w:val="000000"/>
                <w:sz w:val="20"/>
                <w:szCs w:val="20"/>
                <w:lang w:val="es-ES" w:eastAsia="es-ES"/>
              </w:rPr>
              <w:t>Support</w:t>
            </w:r>
            <w:proofErr w:type="spellEnd"/>
            <w:r w:rsidRPr="00A6283E">
              <w:rPr>
                <w:rFonts w:ascii="Times New Roman" w:eastAsia="Times New Roman" w:hAnsi="Times New Roman" w:cs="Times New Roman"/>
                <w:color w:val="000000"/>
                <w:sz w:val="20"/>
                <w:szCs w:val="20"/>
                <w:lang w:val="es-ES" w:eastAsia="es-ES"/>
              </w:rPr>
              <w:t xml:space="preserve"> </w:t>
            </w:r>
            <w:proofErr w:type="spellStart"/>
            <w:r w:rsidRPr="00A6283E">
              <w:rPr>
                <w:rFonts w:ascii="Times New Roman" w:eastAsia="Times New Roman" w:hAnsi="Times New Roman" w:cs="Times New Roman"/>
                <w:color w:val="000000"/>
                <w:sz w:val="20"/>
                <w:szCs w:val="20"/>
                <w:lang w:val="es-ES" w:eastAsia="es-ES"/>
              </w:rPr>
              <w:t>Costs</w:t>
            </w:r>
            <w:proofErr w:type="spellEnd"/>
            <w:r w:rsidRPr="00A6283E">
              <w:rPr>
                <w:rFonts w:ascii="Times New Roman" w:eastAsia="Times New Roman" w:hAnsi="Times New Roman" w:cs="Times New Roman"/>
                <w:color w:val="000000"/>
                <w:sz w:val="20"/>
                <w:szCs w:val="20"/>
                <w:lang w:val="es-ES" w:eastAsia="es-ES"/>
              </w:rPr>
              <w:t xml:space="preserve"> (</w:t>
            </w:r>
            <w:proofErr w:type="spellStart"/>
            <w:r w:rsidRPr="00A6283E">
              <w:rPr>
                <w:rFonts w:ascii="Times New Roman" w:eastAsia="Times New Roman" w:hAnsi="Times New Roman" w:cs="Times New Roman"/>
                <w:color w:val="000000"/>
                <w:sz w:val="20"/>
                <w:szCs w:val="20"/>
                <w:lang w:val="es-ES" w:eastAsia="es-ES"/>
              </w:rPr>
              <w:t>Parent</w:t>
            </w:r>
            <w:proofErr w:type="spellEnd"/>
            <w:r w:rsidRPr="00A6283E">
              <w:rPr>
                <w:rFonts w:ascii="Times New Roman" w:eastAsia="Times New Roman" w:hAnsi="Times New Roman" w:cs="Times New Roman"/>
                <w:color w:val="000000"/>
                <w:sz w:val="20"/>
                <w:szCs w:val="20"/>
                <w:lang w:val="es-ES" w:eastAsia="es-ES"/>
              </w:rPr>
              <w:t xml:space="preserve"> </w:t>
            </w:r>
            <w:proofErr w:type="spellStart"/>
            <w:r w:rsidRPr="00A6283E">
              <w:rPr>
                <w:rFonts w:ascii="Times New Roman" w:eastAsia="Times New Roman" w:hAnsi="Times New Roman" w:cs="Times New Roman"/>
                <w:color w:val="000000"/>
                <w:sz w:val="20"/>
                <w:szCs w:val="20"/>
                <w:lang w:val="es-ES" w:eastAsia="es-ES"/>
              </w:rPr>
              <w:t>Account</w:t>
            </w:r>
            <w:proofErr w:type="spellEnd"/>
            <w:r w:rsidRPr="00A6283E">
              <w:rPr>
                <w:rFonts w:ascii="Times New Roman" w:eastAsia="Times New Roman" w:hAnsi="Times New Roman" w:cs="Times New Roman"/>
                <w:color w:val="000000"/>
                <w:sz w:val="20"/>
                <w:szCs w:val="20"/>
                <w:lang w:val="es-ES" w:eastAsia="es-ES"/>
              </w:rPr>
              <w:t>)</w:t>
            </w:r>
          </w:p>
        </w:tc>
        <w:tc>
          <w:tcPr>
            <w:tcW w:w="993" w:type="dxa"/>
            <w:tcBorders>
              <w:top w:val="nil"/>
              <w:left w:val="nil"/>
              <w:bottom w:val="single" w:sz="4" w:space="0" w:color="auto"/>
              <w:right w:val="single" w:sz="4" w:space="0" w:color="auto"/>
            </w:tcBorders>
            <w:shd w:val="clear" w:color="auto" w:fill="auto"/>
            <w:noWrap/>
            <w:vAlign w:val="bottom"/>
            <w:hideMark/>
          </w:tcPr>
          <w:p w14:paraId="04CBB76E"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288,358</w:t>
            </w:r>
          </w:p>
        </w:tc>
        <w:tc>
          <w:tcPr>
            <w:tcW w:w="850" w:type="dxa"/>
            <w:tcBorders>
              <w:top w:val="nil"/>
              <w:left w:val="nil"/>
              <w:bottom w:val="single" w:sz="4" w:space="0" w:color="auto"/>
              <w:right w:val="single" w:sz="4" w:space="0" w:color="auto"/>
            </w:tcBorders>
            <w:shd w:val="clear" w:color="auto" w:fill="auto"/>
            <w:noWrap/>
            <w:vAlign w:val="bottom"/>
            <w:hideMark/>
          </w:tcPr>
          <w:p w14:paraId="1648A3FF"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276,143</w:t>
            </w:r>
          </w:p>
        </w:tc>
        <w:tc>
          <w:tcPr>
            <w:tcW w:w="851" w:type="dxa"/>
            <w:tcBorders>
              <w:top w:val="nil"/>
              <w:left w:val="nil"/>
              <w:bottom w:val="single" w:sz="4" w:space="0" w:color="auto"/>
              <w:right w:val="single" w:sz="4" w:space="0" w:color="auto"/>
            </w:tcBorders>
            <w:shd w:val="clear" w:color="auto" w:fill="auto"/>
            <w:noWrap/>
            <w:vAlign w:val="bottom"/>
            <w:hideMark/>
          </w:tcPr>
          <w:p w14:paraId="7BC8277A"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r w:rsidRPr="00A6283E">
              <w:rPr>
                <w:rFonts w:ascii="Times New Roman" w:eastAsia="Times New Roman" w:hAnsi="Times New Roman" w:cs="Times New Roman"/>
                <w:color w:val="000000"/>
                <w:sz w:val="20"/>
                <w:szCs w:val="20"/>
                <w:lang w:val="es-ES" w:eastAsia="es-ES"/>
              </w:rPr>
              <w:t>12,215</w:t>
            </w:r>
          </w:p>
        </w:tc>
        <w:tc>
          <w:tcPr>
            <w:tcW w:w="895" w:type="dxa"/>
            <w:tcBorders>
              <w:top w:val="nil"/>
              <w:left w:val="nil"/>
              <w:bottom w:val="single" w:sz="4" w:space="0" w:color="auto"/>
              <w:right w:val="single" w:sz="4" w:space="0" w:color="auto"/>
            </w:tcBorders>
            <w:shd w:val="clear" w:color="auto" w:fill="auto"/>
            <w:noWrap/>
            <w:vAlign w:val="bottom"/>
            <w:hideMark/>
          </w:tcPr>
          <w:p w14:paraId="489F7C37"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95.76</w:t>
            </w:r>
          </w:p>
        </w:tc>
      </w:tr>
      <w:tr w:rsidR="00A6283E" w:rsidRPr="00A6283E" w14:paraId="5C89492B" w14:textId="77777777" w:rsidTr="00A6283E">
        <w:trPr>
          <w:trHeight w:val="251"/>
          <w:jc w:val="center"/>
        </w:trPr>
        <w:tc>
          <w:tcPr>
            <w:tcW w:w="899" w:type="dxa"/>
            <w:vMerge/>
            <w:tcBorders>
              <w:top w:val="nil"/>
              <w:left w:val="single" w:sz="4" w:space="0" w:color="auto"/>
              <w:bottom w:val="single" w:sz="4" w:space="0" w:color="000000"/>
              <w:right w:val="single" w:sz="4" w:space="0" w:color="auto"/>
            </w:tcBorders>
            <w:vAlign w:val="center"/>
            <w:hideMark/>
          </w:tcPr>
          <w:p w14:paraId="5A350A45" w14:textId="77777777" w:rsidR="00A6283E" w:rsidRPr="00A6283E" w:rsidRDefault="00A6283E" w:rsidP="00A6283E">
            <w:pPr>
              <w:jc w:val="both"/>
              <w:rPr>
                <w:rFonts w:ascii="Times New Roman" w:eastAsia="Times New Roman" w:hAnsi="Times New Roman" w:cs="Times New Roman"/>
                <w:color w:val="000000"/>
                <w:sz w:val="20"/>
                <w:szCs w:val="20"/>
                <w:lang w:val="es-ES" w:eastAsia="es-ES"/>
              </w:rPr>
            </w:pPr>
          </w:p>
        </w:tc>
        <w:tc>
          <w:tcPr>
            <w:tcW w:w="3648" w:type="dxa"/>
            <w:tcBorders>
              <w:top w:val="nil"/>
              <w:left w:val="nil"/>
              <w:bottom w:val="single" w:sz="4" w:space="0" w:color="auto"/>
              <w:right w:val="single" w:sz="4" w:space="0" w:color="auto"/>
            </w:tcBorders>
            <w:shd w:val="clear" w:color="auto" w:fill="auto"/>
            <w:vAlign w:val="bottom"/>
            <w:hideMark/>
          </w:tcPr>
          <w:p w14:paraId="3FD7EEA1"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 xml:space="preserve">TOTAL </w:t>
            </w:r>
            <w:proofErr w:type="spellStart"/>
            <w:r w:rsidRPr="00A6283E">
              <w:rPr>
                <w:rFonts w:ascii="Times New Roman" w:eastAsia="Times New Roman" w:hAnsi="Times New Roman" w:cs="Times New Roman"/>
                <w:bCs/>
                <w:color w:val="000000"/>
                <w:sz w:val="20"/>
                <w:szCs w:val="20"/>
                <w:lang w:val="es-ES" w:eastAsia="es-ES"/>
              </w:rPr>
              <w:t>Expenditure</w:t>
            </w:r>
            <w:proofErr w:type="spellEnd"/>
          </w:p>
        </w:tc>
        <w:tc>
          <w:tcPr>
            <w:tcW w:w="993" w:type="dxa"/>
            <w:tcBorders>
              <w:top w:val="nil"/>
              <w:left w:val="nil"/>
              <w:bottom w:val="single" w:sz="4" w:space="0" w:color="auto"/>
              <w:right w:val="single" w:sz="4" w:space="0" w:color="auto"/>
            </w:tcBorders>
            <w:shd w:val="clear" w:color="auto" w:fill="auto"/>
            <w:noWrap/>
            <w:vAlign w:val="bottom"/>
            <w:hideMark/>
          </w:tcPr>
          <w:p w14:paraId="59EA701A"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4,407,771</w:t>
            </w:r>
          </w:p>
        </w:tc>
        <w:tc>
          <w:tcPr>
            <w:tcW w:w="850" w:type="dxa"/>
            <w:tcBorders>
              <w:top w:val="nil"/>
              <w:left w:val="nil"/>
              <w:bottom w:val="single" w:sz="4" w:space="0" w:color="auto"/>
              <w:right w:val="single" w:sz="4" w:space="0" w:color="auto"/>
            </w:tcBorders>
            <w:shd w:val="clear" w:color="auto" w:fill="auto"/>
            <w:noWrap/>
            <w:vAlign w:val="bottom"/>
            <w:hideMark/>
          </w:tcPr>
          <w:p w14:paraId="11DB7894"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4,224,844</w:t>
            </w:r>
          </w:p>
        </w:tc>
        <w:tc>
          <w:tcPr>
            <w:tcW w:w="851" w:type="dxa"/>
            <w:tcBorders>
              <w:top w:val="nil"/>
              <w:left w:val="nil"/>
              <w:bottom w:val="single" w:sz="4" w:space="0" w:color="auto"/>
              <w:right w:val="single" w:sz="4" w:space="0" w:color="auto"/>
            </w:tcBorders>
            <w:shd w:val="clear" w:color="auto" w:fill="auto"/>
            <w:noWrap/>
            <w:vAlign w:val="bottom"/>
            <w:hideMark/>
          </w:tcPr>
          <w:p w14:paraId="2BAD8528"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182,927</w:t>
            </w:r>
          </w:p>
        </w:tc>
        <w:tc>
          <w:tcPr>
            <w:tcW w:w="895" w:type="dxa"/>
            <w:tcBorders>
              <w:top w:val="nil"/>
              <w:left w:val="nil"/>
              <w:bottom w:val="single" w:sz="4" w:space="0" w:color="auto"/>
              <w:right w:val="single" w:sz="4" w:space="0" w:color="auto"/>
            </w:tcBorders>
            <w:shd w:val="clear" w:color="auto" w:fill="auto"/>
            <w:noWrap/>
            <w:vAlign w:val="bottom"/>
            <w:hideMark/>
          </w:tcPr>
          <w:p w14:paraId="3ADA1CA2" w14:textId="77777777" w:rsidR="00A6283E" w:rsidRPr="00A6283E" w:rsidRDefault="00A6283E" w:rsidP="00A6283E">
            <w:pPr>
              <w:jc w:val="both"/>
              <w:rPr>
                <w:rFonts w:ascii="Times New Roman" w:eastAsia="Times New Roman" w:hAnsi="Times New Roman" w:cs="Times New Roman"/>
                <w:bCs/>
                <w:color w:val="000000"/>
                <w:sz w:val="20"/>
                <w:szCs w:val="20"/>
                <w:lang w:val="es-ES" w:eastAsia="es-ES"/>
              </w:rPr>
            </w:pPr>
            <w:r w:rsidRPr="00A6283E">
              <w:rPr>
                <w:rFonts w:ascii="Times New Roman" w:eastAsia="Times New Roman" w:hAnsi="Times New Roman" w:cs="Times New Roman"/>
                <w:bCs/>
                <w:color w:val="000000"/>
                <w:sz w:val="20"/>
                <w:szCs w:val="20"/>
                <w:lang w:val="es-ES" w:eastAsia="es-ES"/>
              </w:rPr>
              <w:t>95.85</w:t>
            </w:r>
          </w:p>
        </w:tc>
      </w:tr>
    </w:tbl>
    <w:p w14:paraId="19C8DA0E" w14:textId="77777777" w:rsidR="00A6283E" w:rsidRPr="00700B30" w:rsidRDefault="00A6283E" w:rsidP="00A6283E">
      <w:pPr>
        <w:jc w:val="both"/>
        <w:rPr>
          <w:rFonts w:ascii="Times New Roman" w:hAnsi="Times New Roman" w:cs="Times New Roman"/>
          <w:bCs/>
          <w:lang w:val="es-GT"/>
        </w:rPr>
      </w:pPr>
    </w:p>
    <w:p w14:paraId="4961FFFC" w14:textId="77777777" w:rsidR="00A6283E" w:rsidRPr="00700B30" w:rsidRDefault="00A6283E" w:rsidP="00A6283E">
      <w:pPr>
        <w:jc w:val="both"/>
        <w:rPr>
          <w:rFonts w:ascii="Times New Roman" w:hAnsi="Times New Roman" w:cs="Times New Roman"/>
          <w:bCs/>
          <w:lang w:val="es-GT"/>
        </w:rPr>
      </w:pPr>
      <w:r w:rsidRPr="00700B30">
        <w:rPr>
          <w:rFonts w:ascii="Times New Roman" w:hAnsi="Times New Roman" w:cs="Times New Roman"/>
          <w:bCs/>
          <w:lang w:val="es-GT"/>
        </w:rPr>
        <w:t>La línea presupuestaria 5020 Locally Contracted Labour (Casual labor) que manifiesta un sobre giro equivalente a US$835 argumentado a la contratación de personal local para el fortalecimiento de grupos de mujeres procesadoras de productos lácteos y al fortalecimiento de la Asociación ADIPAM Mieles Selectas que por sus características en los procesos de manejo e industrialización fue necesario la contratación de personal local con amplia experiencia en dichos temas.</w:t>
      </w:r>
    </w:p>
    <w:p w14:paraId="4FA64987" w14:textId="77777777" w:rsidR="00A6283E" w:rsidRPr="00700B30" w:rsidRDefault="00A6283E" w:rsidP="00A6283E">
      <w:pPr>
        <w:jc w:val="both"/>
        <w:rPr>
          <w:rFonts w:ascii="Times New Roman" w:hAnsi="Times New Roman" w:cs="Times New Roman"/>
          <w:bCs/>
          <w:lang w:val="es-GT"/>
        </w:rPr>
      </w:pPr>
    </w:p>
    <w:p w14:paraId="395F97DC" w14:textId="77777777" w:rsidR="00A6283E" w:rsidRPr="00700B30" w:rsidRDefault="00A6283E" w:rsidP="00A6283E">
      <w:pPr>
        <w:jc w:val="both"/>
        <w:rPr>
          <w:rFonts w:ascii="Times New Roman" w:hAnsi="Times New Roman" w:cs="Times New Roman"/>
          <w:bCs/>
          <w:lang w:val="es-ES"/>
        </w:rPr>
      </w:pPr>
      <w:r w:rsidRPr="00700B30">
        <w:rPr>
          <w:rFonts w:ascii="Times New Roman" w:hAnsi="Times New Roman" w:cs="Times New Roman"/>
          <w:bCs/>
          <w:lang w:val="es-ES"/>
        </w:rPr>
        <w:t xml:space="preserve">El otro rubro que presenta un sobre giro es el 5027 </w:t>
      </w:r>
      <w:proofErr w:type="spellStart"/>
      <w:r w:rsidRPr="00700B30">
        <w:rPr>
          <w:rFonts w:ascii="Times New Roman" w:hAnsi="Times New Roman" w:cs="Times New Roman"/>
          <w:bCs/>
          <w:lang w:val="es-ES"/>
        </w:rPr>
        <w:t>Technical</w:t>
      </w:r>
      <w:proofErr w:type="spellEnd"/>
      <w:r w:rsidRPr="00700B30">
        <w:rPr>
          <w:rFonts w:ascii="Times New Roman" w:hAnsi="Times New Roman" w:cs="Times New Roman"/>
          <w:bCs/>
          <w:lang w:val="es-ES"/>
        </w:rPr>
        <w:t xml:space="preserve"> </w:t>
      </w:r>
      <w:proofErr w:type="spellStart"/>
      <w:r w:rsidRPr="00700B30">
        <w:rPr>
          <w:rFonts w:ascii="Times New Roman" w:hAnsi="Times New Roman" w:cs="Times New Roman"/>
          <w:bCs/>
          <w:lang w:val="es-ES"/>
        </w:rPr>
        <w:t>Support</w:t>
      </w:r>
      <w:proofErr w:type="spellEnd"/>
      <w:r w:rsidRPr="00700B30">
        <w:rPr>
          <w:rFonts w:ascii="Times New Roman" w:hAnsi="Times New Roman" w:cs="Times New Roman"/>
          <w:bCs/>
          <w:lang w:val="es-ES"/>
        </w:rPr>
        <w:t xml:space="preserve"> </w:t>
      </w:r>
      <w:proofErr w:type="spellStart"/>
      <w:r w:rsidRPr="00700B30">
        <w:rPr>
          <w:rFonts w:ascii="Times New Roman" w:hAnsi="Times New Roman" w:cs="Times New Roman"/>
          <w:bCs/>
          <w:lang w:val="es-ES"/>
        </w:rPr>
        <w:t>Services</w:t>
      </w:r>
      <w:proofErr w:type="spellEnd"/>
      <w:r w:rsidRPr="00700B30">
        <w:rPr>
          <w:rFonts w:ascii="Times New Roman" w:hAnsi="Times New Roman" w:cs="Times New Roman"/>
          <w:bCs/>
          <w:lang w:val="es-ES"/>
        </w:rPr>
        <w:t xml:space="preserve"> (</w:t>
      </w:r>
      <w:proofErr w:type="spellStart"/>
      <w:r w:rsidRPr="00700B30">
        <w:rPr>
          <w:rFonts w:ascii="Times New Roman" w:hAnsi="Times New Roman" w:cs="Times New Roman"/>
          <w:bCs/>
          <w:lang w:val="es-ES"/>
        </w:rPr>
        <w:t>Parent</w:t>
      </w:r>
      <w:proofErr w:type="spellEnd"/>
      <w:r w:rsidRPr="00700B30">
        <w:rPr>
          <w:rFonts w:ascii="Times New Roman" w:hAnsi="Times New Roman" w:cs="Times New Roman"/>
          <w:bCs/>
          <w:lang w:val="es-ES"/>
        </w:rPr>
        <w:t xml:space="preserve"> </w:t>
      </w:r>
      <w:proofErr w:type="spellStart"/>
      <w:r w:rsidRPr="00700B30">
        <w:rPr>
          <w:rFonts w:ascii="Times New Roman" w:hAnsi="Times New Roman" w:cs="Times New Roman"/>
          <w:bCs/>
          <w:lang w:val="es-ES"/>
        </w:rPr>
        <w:t>Account</w:t>
      </w:r>
      <w:proofErr w:type="spellEnd"/>
      <w:r w:rsidRPr="00700B30">
        <w:rPr>
          <w:rFonts w:ascii="Times New Roman" w:hAnsi="Times New Roman" w:cs="Times New Roman"/>
          <w:bCs/>
          <w:lang w:val="es-ES"/>
        </w:rPr>
        <w:t>) por un monto de US$ 1,831 debido a los costos incurridos en los servicios técnicos de FAO los cuales fueron de gran utilidad y brindaron el acompañamiento en la definición de estrategias, revisión y ajuste de documentos, pertinencia del Proyecto para el alcance de sus resultados y el seguimiento por parte de la revisión de informes semestrales y la realización de 2 visitas al área de intervención del Proyecto (una a finales del año 2009 y otra a finales del año 2010).</w:t>
      </w:r>
    </w:p>
    <w:p w14:paraId="2351A844" w14:textId="77777777" w:rsidR="00A6283E" w:rsidRPr="00700B30" w:rsidRDefault="00A6283E" w:rsidP="00A6283E">
      <w:pPr>
        <w:jc w:val="both"/>
        <w:rPr>
          <w:rFonts w:ascii="Times New Roman" w:hAnsi="Times New Roman" w:cs="Times New Roman"/>
          <w:bCs/>
          <w:lang w:val="es-ES"/>
        </w:rPr>
      </w:pPr>
    </w:p>
    <w:p w14:paraId="0EB10E46" w14:textId="77777777" w:rsidR="00A6283E" w:rsidRPr="00700B30" w:rsidRDefault="00A6283E" w:rsidP="00A6283E">
      <w:pPr>
        <w:jc w:val="both"/>
        <w:rPr>
          <w:rFonts w:ascii="Times New Roman" w:hAnsi="Times New Roman" w:cs="Times New Roman"/>
          <w:bCs/>
          <w:lang w:val="es-GT"/>
        </w:rPr>
      </w:pPr>
      <w:r w:rsidRPr="00700B30">
        <w:rPr>
          <w:rFonts w:ascii="Times New Roman" w:hAnsi="Times New Roman" w:cs="Times New Roman"/>
          <w:bCs/>
          <w:lang w:val="es-GT"/>
        </w:rPr>
        <w:t xml:space="preserve">En general, los porcentajes de ejecución presupuestaria por línea indican que los montos planificados en la última revisión presupuestaria realizada en el mes de febrero 2011, fueron respetados, de manera que conllevaron una ejecución financiera ordenada que permitió la ejecución física del Proyecto para el alcance de sus resultados.  </w:t>
      </w:r>
    </w:p>
    <w:p w14:paraId="397D578A" w14:textId="77777777" w:rsidR="00646DC3" w:rsidRDefault="00646DC3" w:rsidP="00700B30">
      <w:pPr>
        <w:jc w:val="both"/>
        <w:rPr>
          <w:rFonts w:ascii="Times New Roman" w:hAnsi="Times New Roman" w:cs="Times New Roman"/>
        </w:rPr>
      </w:pPr>
    </w:p>
    <w:p w14:paraId="1894273F" w14:textId="77777777" w:rsidR="00646DC3" w:rsidRPr="00700B30" w:rsidRDefault="00646DC3" w:rsidP="00700B30">
      <w:pPr>
        <w:jc w:val="both"/>
        <w:rPr>
          <w:rFonts w:ascii="Times New Roman" w:hAnsi="Times New Roman" w:cs="Times New Roman"/>
        </w:rPr>
      </w:pPr>
    </w:p>
    <w:p w14:paraId="06B254C3" w14:textId="77777777" w:rsidR="002743E7" w:rsidRPr="00A6283E" w:rsidRDefault="00646DC3" w:rsidP="0061445A">
      <w:pPr>
        <w:jc w:val="both"/>
        <w:outlineLvl w:val="0"/>
        <w:rPr>
          <w:rFonts w:ascii="Times New Roman" w:hAnsi="Times New Roman" w:cs="Times New Roman"/>
          <w:b/>
          <w:bCs/>
          <w:lang w:val="es-GT"/>
        </w:rPr>
      </w:pPr>
      <w:r w:rsidRPr="00A6283E">
        <w:rPr>
          <w:rFonts w:ascii="Times New Roman" w:hAnsi="Times New Roman" w:cs="Times New Roman"/>
          <w:b/>
          <w:bCs/>
          <w:lang w:val="es-GT"/>
        </w:rPr>
        <w:t>Eficiencia - Productos</w:t>
      </w:r>
    </w:p>
    <w:p w14:paraId="026A6B26" w14:textId="77777777" w:rsidR="002743E7" w:rsidRDefault="002743E7" w:rsidP="00700B30">
      <w:pPr>
        <w:jc w:val="both"/>
        <w:rPr>
          <w:rFonts w:ascii="Times New Roman" w:hAnsi="Times New Roman" w:cs="Times New Roman"/>
          <w:lang w:val="es-GT"/>
        </w:rPr>
      </w:pPr>
    </w:p>
    <w:p w14:paraId="479D4E05" w14:textId="77777777" w:rsidR="00634102" w:rsidRDefault="00634102" w:rsidP="00700B30">
      <w:pPr>
        <w:jc w:val="both"/>
        <w:rPr>
          <w:rFonts w:ascii="Times New Roman" w:hAnsi="Times New Roman" w:cs="Times New Roman"/>
          <w:lang w:val="es-GT"/>
        </w:rPr>
      </w:pPr>
      <w:r>
        <w:rPr>
          <w:rFonts w:ascii="Times New Roman" w:hAnsi="Times New Roman" w:cs="Times New Roman"/>
          <w:lang w:val="es-GT"/>
        </w:rPr>
        <w:t>La Tabla 1 a continuación muestra un alcance satisfactorio de los resultados, con un promedio de resultados y metas alcanzadas superior al 95%.</w:t>
      </w:r>
    </w:p>
    <w:p w14:paraId="78C6FF04" w14:textId="77777777" w:rsidR="00A6283E" w:rsidRDefault="00A6283E" w:rsidP="00700B30">
      <w:pPr>
        <w:jc w:val="both"/>
        <w:rPr>
          <w:rFonts w:ascii="Times New Roman" w:hAnsi="Times New Roman" w:cs="Times New Roman"/>
          <w:lang w:val="es-GT"/>
        </w:rPr>
      </w:pPr>
    </w:p>
    <w:p w14:paraId="05322E33" w14:textId="77777777" w:rsidR="00A6283E" w:rsidRDefault="00A6283E" w:rsidP="00700B30">
      <w:pPr>
        <w:jc w:val="both"/>
        <w:rPr>
          <w:rFonts w:ascii="Times New Roman" w:hAnsi="Times New Roman" w:cs="Times New Roman"/>
          <w:lang w:val="es-GT"/>
        </w:rPr>
        <w:sectPr w:rsidR="00A6283E" w:rsidSect="00700B30">
          <w:pgSz w:w="11900" w:h="16840"/>
          <w:pgMar w:top="1440" w:right="1440" w:bottom="1440" w:left="1440" w:header="708" w:footer="708" w:gutter="0"/>
          <w:cols w:space="708"/>
          <w:docGrid w:linePitch="360"/>
        </w:sectPr>
      </w:pPr>
    </w:p>
    <w:p w14:paraId="712303CF" w14:textId="77777777" w:rsidR="00A6283E" w:rsidRDefault="00634102" w:rsidP="00700B30">
      <w:pPr>
        <w:jc w:val="both"/>
        <w:rPr>
          <w:rFonts w:ascii="Times New Roman" w:hAnsi="Times New Roman" w:cs="Times New Roman"/>
          <w:lang w:val="es-GT"/>
        </w:rPr>
      </w:pPr>
      <w:r>
        <w:rPr>
          <w:rFonts w:ascii="Times New Roman" w:hAnsi="Times New Roman" w:cs="Times New Roman"/>
          <w:lang w:val="es-GT"/>
        </w:rPr>
        <w:lastRenderedPageBreak/>
        <w:t xml:space="preserve">Tabla 1: </w:t>
      </w:r>
      <w:r w:rsidR="00A6283E">
        <w:rPr>
          <w:rFonts w:ascii="Times New Roman" w:hAnsi="Times New Roman" w:cs="Times New Roman"/>
          <w:lang w:val="es-GT"/>
        </w:rPr>
        <w:t>Resultados esperados</w:t>
      </w:r>
      <w:r>
        <w:rPr>
          <w:rFonts w:ascii="Times New Roman" w:hAnsi="Times New Roman" w:cs="Times New Roman"/>
          <w:lang w:val="es-GT"/>
        </w:rPr>
        <w:t xml:space="preserve"> y cumplimiento de metas ATINAR II</w:t>
      </w:r>
    </w:p>
    <w:p w14:paraId="67561F9F" w14:textId="77777777" w:rsidR="00A6283E" w:rsidRDefault="00A6283E" w:rsidP="00700B30">
      <w:pPr>
        <w:jc w:val="both"/>
        <w:rPr>
          <w:rFonts w:ascii="Times New Roman" w:hAnsi="Times New Roman" w:cs="Times New Roman"/>
          <w:lang w:val="es-GT"/>
        </w:rPr>
      </w:pPr>
    </w:p>
    <w:tbl>
      <w:tblPr>
        <w:tblStyle w:val="TableGrid"/>
        <w:tblW w:w="5000" w:type="pct"/>
        <w:tblLook w:val="04A0" w:firstRow="1" w:lastRow="0" w:firstColumn="1" w:lastColumn="0" w:noHBand="0" w:noVBand="1"/>
      </w:tblPr>
      <w:tblGrid>
        <w:gridCol w:w="1184"/>
        <w:gridCol w:w="1107"/>
        <w:gridCol w:w="1345"/>
        <w:gridCol w:w="1218"/>
        <w:gridCol w:w="1028"/>
        <w:gridCol w:w="1028"/>
        <w:gridCol w:w="1931"/>
        <w:gridCol w:w="1440"/>
        <w:gridCol w:w="1534"/>
        <w:gridCol w:w="1309"/>
        <w:gridCol w:w="1052"/>
      </w:tblGrid>
      <w:tr w:rsidR="00412AC5" w:rsidRPr="00634102" w14:paraId="27D0D65B" w14:textId="77777777" w:rsidTr="00412AC5">
        <w:tc>
          <w:tcPr>
            <w:tcW w:w="468" w:type="pct"/>
          </w:tcPr>
          <w:p w14:paraId="6E0807AD" w14:textId="77777777" w:rsidR="00412AC5" w:rsidRPr="00634102" w:rsidRDefault="00634102" w:rsidP="00F03677">
            <w:pPr>
              <w:rPr>
                <w:rFonts w:ascii="Times New Roman" w:hAnsi="Times New Roman" w:cs="Times New Roman"/>
                <w:sz w:val="16"/>
                <w:szCs w:val="16"/>
                <w:lang w:val="es-ES"/>
              </w:rPr>
            </w:pPr>
            <w:r>
              <w:rPr>
                <w:rFonts w:ascii="Times New Roman" w:hAnsi="Times New Roman" w:cs="Times New Roman"/>
                <w:sz w:val="16"/>
                <w:szCs w:val="16"/>
                <w:lang w:val="es-ES"/>
              </w:rPr>
              <w:t>Resultados esperados</w:t>
            </w:r>
          </w:p>
        </w:tc>
        <w:tc>
          <w:tcPr>
            <w:tcW w:w="441" w:type="pct"/>
          </w:tcPr>
          <w:p w14:paraId="451B6DC9" w14:textId="77777777" w:rsidR="00412AC5" w:rsidRPr="00634102" w:rsidRDefault="00634102" w:rsidP="00F03677">
            <w:pPr>
              <w:rPr>
                <w:rFonts w:ascii="Times New Roman" w:hAnsi="Times New Roman" w:cs="Times New Roman"/>
                <w:sz w:val="16"/>
                <w:szCs w:val="16"/>
                <w:lang w:val="es-GT"/>
              </w:rPr>
            </w:pPr>
            <w:r>
              <w:rPr>
                <w:rFonts w:ascii="Times New Roman" w:hAnsi="Times New Roman" w:cs="Times New Roman"/>
                <w:sz w:val="16"/>
                <w:szCs w:val="16"/>
                <w:lang w:val="es-ES"/>
              </w:rPr>
              <w:t>P</w:t>
            </w:r>
            <w:r w:rsidR="00412AC5" w:rsidRPr="00634102">
              <w:rPr>
                <w:rFonts w:ascii="Times New Roman" w:hAnsi="Times New Roman" w:cs="Times New Roman"/>
                <w:sz w:val="16"/>
                <w:szCs w:val="16"/>
                <w:lang w:val="es-ES"/>
              </w:rPr>
              <w:t>equeños productores han mejorado sus estrategias productivas a través de transferencia tecnológica, capacitación y mejor acceso y utilización a los insumos productivos.</w:t>
            </w:r>
          </w:p>
        </w:tc>
        <w:tc>
          <w:tcPr>
            <w:tcW w:w="525" w:type="pct"/>
          </w:tcPr>
          <w:p w14:paraId="484F8E43" w14:textId="77777777" w:rsidR="00412AC5" w:rsidRPr="00634102" w:rsidRDefault="00634102" w:rsidP="00F03677">
            <w:pPr>
              <w:rPr>
                <w:rFonts w:ascii="Times New Roman" w:hAnsi="Times New Roman" w:cs="Times New Roman"/>
                <w:sz w:val="16"/>
                <w:szCs w:val="16"/>
                <w:lang w:val="es-GT"/>
              </w:rPr>
            </w:pPr>
            <w:r>
              <w:rPr>
                <w:rFonts w:ascii="Times New Roman" w:eastAsia="Arial Unicode MS" w:hAnsi="Times New Roman" w:cs="Times New Roman"/>
                <w:sz w:val="16"/>
                <w:szCs w:val="16"/>
                <w:lang w:val="es-PA"/>
              </w:rPr>
              <w:t>P</w:t>
            </w:r>
            <w:r w:rsidR="00412AC5" w:rsidRPr="00634102">
              <w:rPr>
                <w:rFonts w:ascii="Times New Roman" w:eastAsia="Arial Unicode MS" w:hAnsi="Times New Roman" w:cs="Times New Roman"/>
                <w:sz w:val="16"/>
                <w:szCs w:val="16"/>
                <w:lang w:val="es-PA"/>
              </w:rPr>
              <w:t>roductores, asociados en al menos 8 organizaciones, cuentan con Planes de Producción definidos y basados en Planes Comerciales</w:t>
            </w:r>
          </w:p>
        </w:tc>
        <w:tc>
          <w:tcPr>
            <w:tcW w:w="480" w:type="pct"/>
          </w:tcPr>
          <w:p w14:paraId="2F117CCD" w14:textId="77777777" w:rsidR="00412AC5" w:rsidRPr="00634102" w:rsidRDefault="00634102" w:rsidP="00F03677">
            <w:pPr>
              <w:rPr>
                <w:rFonts w:ascii="Times New Roman" w:hAnsi="Times New Roman" w:cs="Times New Roman"/>
                <w:sz w:val="16"/>
                <w:szCs w:val="16"/>
                <w:lang w:val="es-GT"/>
              </w:rPr>
            </w:pPr>
            <w:r>
              <w:rPr>
                <w:rFonts w:ascii="Times New Roman" w:hAnsi="Times New Roman" w:cs="Times New Roman"/>
                <w:sz w:val="16"/>
                <w:szCs w:val="16"/>
                <w:lang w:val="es-ES"/>
              </w:rPr>
              <w:t>P</w:t>
            </w:r>
            <w:r w:rsidR="00412AC5" w:rsidRPr="00634102">
              <w:rPr>
                <w:rFonts w:ascii="Times New Roman" w:hAnsi="Times New Roman" w:cs="Times New Roman"/>
                <w:sz w:val="16"/>
                <w:szCs w:val="16"/>
                <w:lang w:val="es-ES"/>
              </w:rPr>
              <w:t>roductores asociados han implementado dos nuevas opciones productivas, rentables y con potencial de mercado</w:t>
            </w:r>
          </w:p>
        </w:tc>
        <w:tc>
          <w:tcPr>
            <w:tcW w:w="413" w:type="pct"/>
          </w:tcPr>
          <w:p w14:paraId="4CEDA3DB" w14:textId="77777777" w:rsidR="00412AC5" w:rsidRPr="00634102" w:rsidRDefault="00634102" w:rsidP="00F03677">
            <w:pPr>
              <w:rPr>
                <w:rFonts w:ascii="Times New Roman" w:hAnsi="Times New Roman" w:cs="Times New Roman"/>
                <w:sz w:val="16"/>
                <w:szCs w:val="16"/>
                <w:lang w:val="es-GT"/>
              </w:rPr>
            </w:pPr>
            <w:r>
              <w:rPr>
                <w:rFonts w:ascii="Times New Roman" w:hAnsi="Times New Roman" w:cs="Times New Roman"/>
                <w:sz w:val="16"/>
                <w:szCs w:val="16"/>
                <w:lang w:val="es-ES"/>
              </w:rPr>
              <w:t>P</w:t>
            </w:r>
            <w:r w:rsidR="00412AC5" w:rsidRPr="00634102">
              <w:rPr>
                <w:rFonts w:ascii="Times New Roman" w:hAnsi="Times New Roman" w:cs="Times New Roman"/>
                <w:sz w:val="16"/>
                <w:szCs w:val="16"/>
                <w:lang w:val="es-ES"/>
              </w:rPr>
              <w:t>equeños productores rurales han mejorado sus estrategias comerciales en el proceso de acceso al mercado y obtienen una mayor parte de los ingresos generados en la cadena de valor.</w:t>
            </w:r>
          </w:p>
        </w:tc>
        <w:tc>
          <w:tcPr>
            <w:tcW w:w="413" w:type="pct"/>
          </w:tcPr>
          <w:p w14:paraId="53B3EB2A" w14:textId="77777777" w:rsidR="00412AC5" w:rsidRPr="00634102" w:rsidRDefault="00634102" w:rsidP="00F03677">
            <w:pPr>
              <w:rPr>
                <w:rFonts w:ascii="Times New Roman" w:hAnsi="Times New Roman" w:cs="Times New Roman"/>
                <w:sz w:val="16"/>
                <w:szCs w:val="16"/>
                <w:lang w:val="es-GT"/>
              </w:rPr>
            </w:pPr>
            <w:r>
              <w:rPr>
                <w:rFonts w:ascii="Times New Roman" w:hAnsi="Times New Roman" w:cs="Times New Roman"/>
                <w:sz w:val="16"/>
                <w:szCs w:val="16"/>
                <w:lang w:val="es-MX"/>
              </w:rPr>
              <w:t>P</w:t>
            </w:r>
            <w:r w:rsidR="00412AC5" w:rsidRPr="00634102">
              <w:rPr>
                <w:rFonts w:ascii="Times New Roman" w:hAnsi="Times New Roman" w:cs="Times New Roman"/>
                <w:sz w:val="16"/>
                <w:szCs w:val="16"/>
                <w:lang w:val="es-MX"/>
              </w:rPr>
              <w:t>roductores desarrollan planes comerciales</w:t>
            </w:r>
          </w:p>
        </w:tc>
        <w:tc>
          <w:tcPr>
            <w:tcW w:w="731" w:type="pct"/>
          </w:tcPr>
          <w:p w14:paraId="38518599" w14:textId="77777777" w:rsidR="00412AC5" w:rsidRPr="00634102" w:rsidRDefault="00412AC5" w:rsidP="00F03677">
            <w:pPr>
              <w:rPr>
                <w:rFonts w:ascii="Times New Roman" w:hAnsi="Times New Roman" w:cs="Times New Roman"/>
                <w:sz w:val="16"/>
                <w:szCs w:val="16"/>
                <w:lang w:val="es-GT"/>
              </w:rPr>
            </w:pPr>
            <w:r w:rsidRPr="00634102">
              <w:rPr>
                <w:rFonts w:ascii="Times New Roman" w:hAnsi="Times New Roman" w:cs="Times New Roman"/>
                <w:sz w:val="16"/>
                <w:szCs w:val="16"/>
                <w:lang w:val="es-MX"/>
              </w:rPr>
              <w:t>Identificación de nuevos emprendimientos y nuevas asociaciones (que implican formación o fortalecimiento de microemprendimientos rurales)</w:t>
            </w:r>
          </w:p>
        </w:tc>
        <w:tc>
          <w:tcPr>
            <w:tcW w:w="558" w:type="pct"/>
          </w:tcPr>
          <w:p w14:paraId="2A7F022B" w14:textId="77777777" w:rsidR="00412AC5" w:rsidRPr="00634102" w:rsidRDefault="00412AC5" w:rsidP="00F03677">
            <w:pPr>
              <w:rPr>
                <w:rFonts w:ascii="Times New Roman" w:hAnsi="Times New Roman" w:cs="Times New Roman"/>
                <w:sz w:val="16"/>
                <w:szCs w:val="16"/>
                <w:lang w:val="es-GT"/>
              </w:rPr>
            </w:pPr>
            <w:r w:rsidRPr="00634102">
              <w:rPr>
                <w:rFonts w:ascii="Times New Roman" w:hAnsi="Times New Roman" w:cs="Times New Roman"/>
                <w:sz w:val="16"/>
                <w:szCs w:val="16"/>
                <w:lang w:val="es-ES"/>
              </w:rPr>
              <w:t>Asociaciones de mujeres productoras de artesanías han mejorado la calidad del producto y su comercialización obteniendo mayores ingresos</w:t>
            </w:r>
          </w:p>
        </w:tc>
        <w:tc>
          <w:tcPr>
            <w:tcW w:w="591" w:type="pct"/>
          </w:tcPr>
          <w:p w14:paraId="6582FF50" w14:textId="77777777" w:rsidR="00412AC5" w:rsidRPr="00634102" w:rsidRDefault="00412AC5" w:rsidP="00F03677">
            <w:pPr>
              <w:rPr>
                <w:rFonts w:ascii="Times New Roman" w:hAnsi="Times New Roman" w:cs="Times New Roman"/>
                <w:sz w:val="16"/>
                <w:szCs w:val="16"/>
                <w:lang w:val="es-GT"/>
              </w:rPr>
            </w:pPr>
            <w:r w:rsidRPr="00634102">
              <w:rPr>
                <w:rFonts w:ascii="Times New Roman" w:hAnsi="Times New Roman" w:cs="Times New Roman"/>
                <w:sz w:val="16"/>
                <w:szCs w:val="16"/>
                <w:lang w:val="es-ES"/>
              </w:rPr>
              <w:t>Haber desarrollado, con la Municipalidad, una experiencia de organización asociativa con artesanos que les ha permitido mejorar su productividad y eficiencia y vincularse en forma organizada con los mercados de insumos y productos</w:t>
            </w:r>
          </w:p>
        </w:tc>
        <w:tc>
          <w:tcPr>
            <w:tcW w:w="190" w:type="pct"/>
          </w:tcPr>
          <w:p w14:paraId="6D899C24" w14:textId="77777777" w:rsidR="00412AC5" w:rsidRPr="00634102" w:rsidRDefault="00412AC5" w:rsidP="00F03677">
            <w:pPr>
              <w:rPr>
                <w:rFonts w:ascii="Times New Roman" w:hAnsi="Times New Roman" w:cs="Times New Roman"/>
                <w:sz w:val="16"/>
                <w:szCs w:val="16"/>
                <w:lang w:val="es-ES"/>
              </w:rPr>
            </w:pPr>
            <w:r w:rsidRPr="00634102">
              <w:rPr>
                <w:rFonts w:ascii="Times New Roman" w:hAnsi="Times New Roman" w:cs="Times New Roman"/>
                <w:sz w:val="16"/>
                <w:szCs w:val="16"/>
                <w:lang w:val="es-ES"/>
              </w:rPr>
              <w:t>Haber apoyado a los productores y transformadores de productos procesados, como productos lácteos, en el mejoramiento de su producción, organización y capacidad de comercialización de su producto</w:t>
            </w:r>
          </w:p>
        </w:tc>
        <w:tc>
          <w:tcPr>
            <w:tcW w:w="190" w:type="pct"/>
          </w:tcPr>
          <w:p w14:paraId="5338097D" w14:textId="77777777" w:rsidR="00412AC5" w:rsidRPr="00634102" w:rsidRDefault="00412AC5" w:rsidP="00F03677">
            <w:pPr>
              <w:rPr>
                <w:rFonts w:ascii="Times New Roman" w:hAnsi="Times New Roman" w:cs="Times New Roman"/>
                <w:sz w:val="16"/>
                <w:szCs w:val="16"/>
                <w:lang w:val="es-ES"/>
              </w:rPr>
            </w:pPr>
            <w:r w:rsidRPr="00634102">
              <w:rPr>
                <w:rFonts w:ascii="Times New Roman" w:hAnsi="Times New Roman" w:cs="Times New Roman"/>
                <w:sz w:val="16"/>
                <w:szCs w:val="16"/>
                <w:lang w:val="es-ES"/>
              </w:rPr>
              <w:t>Dos mil familias implementan prácticas integradas a nivel de los patios y parcelas.</w:t>
            </w:r>
          </w:p>
        </w:tc>
      </w:tr>
      <w:tr w:rsidR="00412AC5" w:rsidRPr="00634102" w14:paraId="787BEF68" w14:textId="77777777" w:rsidTr="00412AC5">
        <w:tc>
          <w:tcPr>
            <w:tcW w:w="468" w:type="pct"/>
          </w:tcPr>
          <w:p w14:paraId="11BC21A6"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Meta</w:t>
            </w:r>
          </w:p>
        </w:tc>
        <w:tc>
          <w:tcPr>
            <w:tcW w:w="441" w:type="pct"/>
          </w:tcPr>
          <w:p w14:paraId="7963A6CE"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1000</w:t>
            </w:r>
          </w:p>
        </w:tc>
        <w:tc>
          <w:tcPr>
            <w:tcW w:w="525" w:type="pct"/>
          </w:tcPr>
          <w:p w14:paraId="7F03344E"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1000 productores en 8 comunidades</w:t>
            </w:r>
          </w:p>
        </w:tc>
        <w:tc>
          <w:tcPr>
            <w:tcW w:w="480" w:type="pct"/>
          </w:tcPr>
          <w:p w14:paraId="38FA7DC3"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200</w:t>
            </w:r>
          </w:p>
        </w:tc>
        <w:tc>
          <w:tcPr>
            <w:tcW w:w="413" w:type="pct"/>
          </w:tcPr>
          <w:p w14:paraId="7CB76B31"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1000</w:t>
            </w:r>
          </w:p>
        </w:tc>
        <w:tc>
          <w:tcPr>
            <w:tcW w:w="413" w:type="pct"/>
          </w:tcPr>
          <w:p w14:paraId="23983056"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1000</w:t>
            </w:r>
          </w:p>
        </w:tc>
        <w:tc>
          <w:tcPr>
            <w:tcW w:w="731" w:type="pct"/>
          </w:tcPr>
          <w:p w14:paraId="20831EB2"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No definido</w:t>
            </w:r>
          </w:p>
        </w:tc>
        <w:tc>
          <w:tcPr>
            <w:tcW w:w="558" w:type="pct"/>
          </w:tcPr>
          <w:p w14:paraId="613D6921"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No definido</w:t>
            </w:r>
          </w:p>
        </w:tc>
        <w:tc>
          <w:tcPr>
            <w:tcW w:w="591" w:type="pct"/>
          </w:tcPr>
          <w:p w14:paraId="0BF7085C"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No definido</w:t>
            </w:r>
          </w:p>
        </w:tc>
        <w:tc>
          <w:tcPr>
            <w:tcW w:w="190" w:type="pct"/>
          </w:tcPr>
          <w:p w14:paraId="1F085E15"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No definido</w:t>
            </w:r>
          </w:p>
        </w:tc>
        <w:tc>
          <w:tcPr>
            <w:tcW w:w="190" w:type="pct"/>
          </w:tcPr>
          <w:p w14:paraId="1F0E08FF"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2000</w:t>
            </w:r>
          </w:p>
        </w:tc>
      </w:tr>
      <w:tr w:rsidR="00412AC5" w:rsidRPr="00634102" w14:paraId="357AC958" w14:textId="77777777" w:rsidTr="00412AC5">
        <w:tc>
          <w:tcPr>
            <w:tcW w:w="468" w:type="pct"/>
          </w:tcPr>
          <w:p w14:paraId="459C61A4"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Resultado</w:t>
            </w:r>
          </w:p>
        </w:tc>
        <w:tc>
          <w:tcPr>
            <w:tcW w:w="441" w:type="pct"/>
          </w:tcPr>
          <w:p w14:paraId="1B5AA9F8"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70</w:t>
            </w:r>
          </w:p>
        </w:tc>
        <w:tc>
          <w:tcPr>
            <w:tcW w:w="525" w:type="pct"/>
          </w:tcPr>
          <w:p w14:paraId="00375D53"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886 productores en 9 comunidades</w:t>
            </w:r>
          </w:p>
        </w:tc>
        <w:tc>
          <w:tcPr>
            <w:tcW w:w="480" w:type="pct"/>
          </w:tcPr>
          <w:p w14:paraId="6703DE8A"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284</w:t>
            </w:r>
          </w:p>
        </w:tc>
        <w:tc>
          <w:tcPr>
            <w:tcW w:w="413" w:type="pct"/>
          </w:tcPr>
          <w:p w14:paraId="1A7D467A"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1093</w:t>
            </w:r>
          </w:p>
        </w:tc>
        <w:tc>
          <w:tcPr>
            <w:tcW w:w="413" w:type="pct"/>
          </w:tcPr>
          <w:p w14:paraId="53057F3A"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1093</w:t>
            </w:r>
          </w:p>
        </w:tc>
        <w:tc>
          <w:tcPr>
            <w:tcW w:w="731" w:type="pct"/>
          </w:tcPr>
          <w:p w14:paraId="14EEA3CC"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2</w:t>
            </w:r>
          </w:p>
        </w:tc>
        <w:tc>
          <w:tcPr>
            <w:tcW w:w="558" w:type="pct"/>
          </w:tcPr>
          <w:p w14:paraId="220E86C7"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4</w:t>
            </w:r>
          </w:p>
        </w:tc>
        <w:tc>
          <w:tcPr>
            <w:tcW w:w="591" w:type="pct"/>
          </w:tcPr>
          <w:p w14:paraId="22554694"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0 (por falta de acuerdo entre municipalidad y productores)</w:t>
            </w:r>
          </w:p>
        </w:tc>
        <w:tc>
          <w:tcPr>
            <w:tcW w:w="190" w:type="pct"/>
          </w:tcPr>
          <w:p w14:paraId="3C815DC7"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2</w:t>
            </w:r>
          </w:p>
        </w:tc>
        <w:tc>
          <w:tcPr>
            <w:tcW w:w="190" w:type="pct"/>
          </w:tcPr>
          <w:p w14:paraId="49F7761B"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1586</w:t>
            </w:r>
          </w:p>
        </w:tc>
      </w:tr>
      <w:tr w:rsidR="00412AC5" w:rsidRPr="00634102" w14:paraId="29F72124" w14:textId="77777777" w:rsidTr="00412AC5">
        <w:tc>
          <w:tcPr>
            <w:tcW w:w="468" w:type="pct"/>
          </w:tcPr>
          <w:p w14:paraId="428AFF26"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Grado de cumplimiento (%)</w:t>
            </w:r>
          </w:p>
        </w:tc>
        <w:tc>
          <w:tcPr>
            <w:tcW w:w="441" w:type="pct"/>
          </w:tcPr>
          <w:p w14:paraId="696B27E6"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70</w:t>
            </w:r>
          </w:p>
        </w:tc>
        <w:tc>
          <w:tcPr>
            <w:tcW w:w="525" w:type="pct"/>
          </w:tcPr>
          <w:p w14:paraId="4EE68D41"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90</w:t>
            </w:r>
          </w:p>
        </w:tc>
        <w:tc>
          <w:tcPr>
            <w:tcW w:w="480" w:type="pct"/>
          </w:tcPr>
          <w:p w14:paraId="7DC5C343"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142</w:t>
            </w:r>
          </w:p>
        </w:tc>
        <w:tc>
          <w:tcPr>
            <w:tcW w:w="413" w:type="pct"/>
          </w:tcPr>
          <w:p w14:paraId="26E0DA93"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109</w:t>
            </w:r>
          </w:p>
        </w:tc>
        <w:tc>
          <w:tcPr>
            <w:tcW w:w="413" w:type="pct"/>
          </w:tcPr>
          <w:p w14:paraId="1B2E0F59"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109</w:t>
            </w:r>
          </w:p>
        </w:tc>
        <w:tc>
          <w:tcPr>
            <w:tcW w:w="731" w:type="pct"/>
          </w:tcPr>
          <w:p w14:paraId="510F89EB"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No aplica</w:t>
            </w:r>
          </w:p>
        </w:tc>
        <w:tc>
          <w:tcPr>
            <w:tcW w:w="558" w:type="pct"/>
          </w:tcPr>
          <w:p w14:paraId="5C2AEC3D"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No aplica</w:t>
            </w:r>
          </w:p>
        </w:tc>
        <w:tc>
          <w:tcPr>
            <w:tcW w:w="591" w:type="pct"/>
          </w:tcPr>
          <w:p w14:paraId="75B5C144"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No aplica</w:t>
            </w:r>
          </w:p>
        </w:tc>
        <w:tc>
          <w:tcPr>
            <w:tcW w:w="190" w:type="pct"/>
          </w:tcPr>
          <w:p w14:paraId="58C43720"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No aplica</w:t>
            </w:r>
          </w:p>
        </w:tc>
        <w:tc>
          <w:tcPr>
            <w:tcW w:w="190" w:type="pct"/>
          </w:tcPr>
          <w:p w14:paraId="7A83B657" w14:textId="77777777" w:rsidR="00412AC5" w:rsidRPr="00634102" w:rsidRDefault="00412AC5" w:rsidP="0061445A">
            <w:pPr>
              <w:rPr>
                <w:rFonts w:ascii="Times New Roman" w:hAnsi="Times New Roman" w:cs="Times New Roman"/>
                <w:sz w:val="16"/>
                <w:szCs w:val="16"/>
                <w:lang w:val="es-GT"/>
              </w:rPr>
            </w:pPr>
            <w:r w:rsidRPr="00634102">
              <w:rPr>
                <w:rFonts w:ascii="Times New Roman" w:hAnsi="Times New Roman" w:cs="Times New Roman"/>
                <w:sz w:val="16"/>
                <w:szCs w:val="16"/>
                <w:lang w:val="es-GT"/>
              </w:rPr>
              <w:t>79</w:t>
            </w:r>
          </w:p>
        </w:tc>
      </w:tr>
    </w:tbl>
    <w:p w14:paraId="08BF2D89" w14:textId="77777777" w:rsidR="00A6283E" w:rsidRPr="00634102" w:rsidRDefault="00634102" w:rsidP="00700B30">
      <w:pPr>
        <w:jc w:val="both"/>
        <w:rPr>
          <w:rFonts w:ascii="Times New Roman" w:hAnsi="Times New Roman" w:cs="Times New Roman"/>
          <w:sz w:val="20"/>
          <w:szCs w:val="20"/>
          <w:lang w:val="es-GT"/>
        </w:rPr>
      </w:pPr>
      <w:r w:rsidRPr="00634102">
        <w:rPr>
          <w:rFonts w:ascii="Times New Roman" w:hAnsi="Times New Roman" w:cs="Times New Roman"/>
          <w:sz w:val="20"/>
          <w:szCs w:val="20"/>
          <w:lang w:val="es-GT"/>
        </w:rPr>
        <w:t xml:space="preserve">Fuente: </w:t>
      </w:r>
      <w:r>
        <w:rPr>
          <w:rFonts w:ascii="Times New Roman" w:hAnsi="Times New Roman" w:cs="Times New Roman"/>
          <w:sz w:val="20"/>
          <w:szCs w:val="20"/>
          <w:lang w:val="es-GT"/>
        </w:rPr>
        <w:t xml:space="preserve">Elaboración propia en base a </w:t>
      </w:r>
      <w:r w:rsidRPr="00634102">
        <w:rPr>
          <w:rFonts w:ascii="Times New Roman" w:hAnsi="Times New Roman" w:cs="Times New Roman"/>
          <w:sz w:val="20"/>
          <w:szCs w:val="20"/>
          <w:lang w:val="es-GT"/>
        </w:rPr>
        <w:t>Informe final ATINAR II</w:t>
      </w:r>
    </w:p>
    <w:p w14:paraId="294290E0" w14:textId="77777777" w:rsidR="00A6283E" w:rsidRDefault="00A6283E" w:rsidP="00700B30">
      <w:pPr>
        <w:jc w:val="both"/>
        <w:rPr>
          <w:rFonts w:ascii="Times New Roman" w:hAnsi="Times New Roman" w:cs="Times New Roman"/>
          <w:lang w:val="es-GT"/>
        </w:rPr>
      </w:pPr>
    </w:p>
    <w:p w14:paraId="79BCAC60" w14:textId="77777777" w:rsidR="00A6283E" w:rsidRDefault="00A6283E" w:rsidP="00700B30">
      <w:pPr>
        <w:jc w:val="both"/>
        <w:rPr>
          <w:rFonts w:ascii="Times New Roman" w:hAnsi="Times New Roman" w:cs="Times New Roman"/>
          <w:lang w:val="es-GT"/>
        </w:rPr>
      </w:pPr>
    </w:p>
    <w:p w14:paraId="562DD842" w14:textId="77777777" w:rsidR="00A6283E" w:rsidRDefault="00A6283E" w:rsidP="00700B30">
      <w:pPr>
        <w:jc w:val="both"/>
        <w:rPr>
          <w:rFonts w:ascii="Times New Roman" w:hAnsi="Times New Roman" w:cs="Times New Roman"/>
          <w:lang w:val="es-GT"/>
        </w:rPr>
        <w:sectPr w:rsidR="00A6283E" w:rsidSect="00A6283E">
          <w:pgSz w:w="16840" w:h="11900" w:orient="landscape"/>
          <w:pgMar w:top="1440" w:right="1440" w:bottom="1440" w:left="1440" w:header="708" w:footer="708" w:gutter="0"/>
          <w:cols w:space="708"/>
          <w:docGrid w:linePitch="360"/>
        </w:sectPr>
      </w:pPr>
    </w:p>
    <w:p w14:paraId="37CE3FB5" w14:textId="77777777" w:rsidR="00A6283E" w:rsidRPr="00700B30" w:rsidRDefault="00A6283E" w:rsidP="00700B30">
      <w:pPr>
        <w:jc w:val="both"/>
        <w:rPr>
          <w:rFonts w:ascii="Times New Roman" w:hAnsi="Times New Roman" w:cs="Times New Roman"/>
          <w:lang w:val="es-GT"/>
        </w:rPr>
      </w:pPr>
    </w:p>
    <w:p w14:paraId="7E6ED386" w14:textId="77777777" w:rsidR="0048577E" w:rsidRPr="00FA5834" w:rsidRDefault="00521E3C" w:rsidP="0061445A">
      <w:pPr>
        <w:jc w:val="both"/>
        <w:outlineLvl w:val="0"/>
        <w:rPr>
          <w:rFonts w:ascii="Times New Roman" w:hAnsi="Times New Roman" w:cs="Times New Roman"/>
          <w:b/>
        </w:rPr>
      </w:pPr>
      <w:r w:rsidRPr="00FA5834">
        <w:rPr>
          <w:rFonts w:ascii="Times New Roman" w:hAnsi="Times New Roman" w:cs="Times New Roman"/>
          <w:b/>
        </w:rPr>
        <w:t>Efectividad – Resultados</w:t>
      </w:r>
    </w:p>
    <w:p w14:paraId="7CB5B489" w14:textId="77777777" w:rsidR="0016042A" w:rsidRPr="00700B30" w:rsidRDefault="0016042A" w:rsidP="00700B30">
      <w:pPr>
        <w:jc w:val="both"/>
        <w:rPr>
          <w:rFonts w:ascii="Times New Roman" w:hAnsi="Times New Roman" w:cs="Times New Roman"/>
          <w:bCs/>
          <w:lang w:val="es-GT"/>
        </w:rPr>
      </w:pPr>
    </w:p>
    <w:p w14:paraId="61DBEB85" w14:textId="77777777" w:rsidR="0016042A" w:rsidRPr="00700B30" w:rsidRDefault="0016042A" w:rsidP="00700B30">
      <w:pPr>
        <w:numPr>
          <w:ilvl w:val="0"/>
          <w:numId w:val="4"/>
        </w:numPr>
        <w:jc w:val="both"/>
        <w:rPr>
          <w:rFonts w:ascii="Times New Roman" w:hAnsi="Times New Roman" w:cs="Times New Roman"/>
          <w:bCs/>
          <w:lang w:val="es-GT"/>
        </w:rPr>
      </w:pPr>
      <w:r w:rsidRPr="00700B30">
        <w:rPr>
          <w:rFonts w:ascii="Times New Roman" w:hAnsi="Times New Roman" w:cs="Times New Roman"/>
          <w:bCs/>
          <w:lang w:val="es-GT"/>
        </w:rPr>
        <w:t>El Proyecto ATINAR II atendió a un total de 3,618 familias (sobre 3,300 previstas), 1,655 de las cuales forman parte de 21 organizaciones de productores/as atendidas y el resto (1,963) lo constituyen familias de autoconsumo, con lo cual supero la meta de 3,300 familias previstas en el documento de proyecto.</w:t>
      </w:r>
    </w:p>
    <w:p w14:paraId="4CE741FB" w14:textId="77777777" w:rsidR="0016042A" w:rsidRPr="00700B30" w:rsidRDefault="0016042A" w:rsidP="00700B30">
      <w:pPr>
        <w:ind w:left="360"/>
        <w:jc w:val="both"/>
        <w:rPr>
          <w:rFonts w:ascii="Times New Roman" w:hAnsi="Times New Roman" w:cs="Times New Roman"/>
          <w:bCs/>
          <w:lang w:val="es-GT"/>
        </w:rPr>
      </w:pPr>
      <w:r w:rsidRPr="00700B30">
        <w:rPr>
          <w:rFonts w:ascii="Times New Roman" w:hAnsi="Times New Roman" w:cs="Times New Roman"/>
          <w:bCs/>
          <w:lang w:val="es-GT"/>
        </w:rPr>
        <w:t xml:space="preserve"> </w:t>
      </w:r>
    </w:p>
    <w:p w14:paraId="5EDB0CE7" w14:textId="77777777" w:rsidR="0016042A" w:rsidRPr="00700B30" w:rsidRDefault="0016042A" w:rsidP="00700B30">
      <w:pPr>
        <w:numPr>
          <w:ilvl w:val="0"/>
          <w:numId w:val="7"/>
        </w:numPr>
        <w:jc w:val="both"/>
        <w:rPr>
          <w:rFonts w:ascii="Times New Roman" w:hAnsi="Times New Roman" w:cs="Times New Roman"/>
          <w:bCs/>
          <w:lang w:val="es-GT"/>
        </w:rPr>
      </w:pPr>
      <w:r w:rsidRPr="00700B30">
        <w:rPr>
          <w:rFonts w:ascii="Times New Roman" w:hAnsi="Times New Roman" w:cs="Times New Roman"/>
          <w:bCs/>
          <w:lang w:val="es-GT"/>
        </w:rPr>
        <w:t>Como consecuencia de los productos generados por el proyecto, este ha logrado alcanzar los resultados previstos 1, 2 y 3, y contribuir así al efecto fijado en el documento de proyecto. En concreto:</w:t>
      </w:r>
    </w:p>
    <w:p w14:paraId="148AE824" w14:textId="77777777" w:rsidR="0016042A" w:rsidRPr="00700B30" w:rsidRDefault="0016042A" w:rsidP="00700B30">
      <w:pPr>
        <w:numPr>
          <w:ilvl w:val="1"/>
          <w:numId w:val="7"/>
        </w:numPr>
        <w:jc w:val="both"/>
        <w:rPr>
          <w:rFonts w:ascii="Times New Roman" w:hAnsi="Times New Roman" w:cs="Times New Roman"/>
          <w:bCs/>
          <w:lang w:val="es-GT"/>
        </w:rPr>
      </w:pPr>
      <w:r w:rsidRPr="00700B30">
        <w:rPr>
          <w:rFonts w:ascii="Times New Roman" w:hAnsi="Times New Roman" w:cs="Times New Roman"/>
          <w:bCs/>
          <w:lang w:val="es-GT"/>
        </w:rPr>
        <w:t>70% de los productores previstos (meta fijada de 1,000), han adoptado las BPA y con ello mejorado sus estrategias productivas, calidad, inocuidad, ordenamiento de sus procesos por medio de sus planes de producción y comercialización, mejorado su vinculación a cadenas de valor y sus condiciones de competitividad en los mercados.</w:t>
      </w:r>
    </w:p>
    <w:p w14:paraId="2FF867F9" w14:textId="77777777" w:rsidR="0016042A" w:rsidRPr="00700B30" w:rsidRDefault="0016042A" w:rsidP="00700B30">
      <w:pPr>
        <w:numPr>
          <w:ilvl w:val="1"/>
          <w:numId w:val="7"/>
        </w:numPr>
        <w:jc w:val="both"/>
        <w:rPr>
          <w:rFonts w:ascii="Times New Roman" w:hAnsi="Times New Roman" w:cs="Times New Roman"/>
          <w:bCs/>
          <w:lang w:val="es-GT"/>
        </w:rPr>
      </w:pPr>
      <w:r w:rsidRPr="00700B30">
        <w:rPr>
          <w:rFonts w:ascii="Times New Roman" w:hAnsi="Times New Roman" w:cs="Times New Roman"/>
          <w:bCs/>
          <w:lang w:val="es-GT"/>
        </w:rPr>
        <w:t xml:space="preserve">Aumento en rendimiento del 19.6% promedio en cultivos producidos y comercializados por las organizaciones hortícolas, mejorando niveles de competitividad por unidad de área. </w:t>
      </w:r>
    </w:p>
    <w:p w14:paraId="67B98C74" w14:textId="77777777" w:rsidR="0016042A" w:rsidRPr="00700B30" w:rsidRDefault="0016042A" w:rsidP="00700B30">
      <w:pPr>
        <w:numPr>
          <w:ilvl w:val="1"/>
          <w:numId w:val="7"/>
        </w:numPr>
        <w:jc w:val="both"/>
        <w:rPr>
          <w:rFonts w:ascii="Times New Roman" w:hAnsi="Times New Roman" w:cs="Times New Roman"/>
          <w:bCs/>
          <w:lang w:val="es-GT"/>
        </w:rPr>
      </w:pPr>
      <w:r w:rsidRPr="00700B30">
        <w:rPr>
          <w:rFonts w:ascii="Times New Roman" w:hAnsi="Times New Roman" w:cs="Times New Roman"/>
          <w:bCs/>
          <w:lang w:val="es-GT"/>
        </w:rPr>
        <w:t>En cuanto a la consecución de las metas marcadas para el resultado 2, la adopción de las BPA y BPM, los incentivos suministrados por el proyecto en forma de capital físico principalmente centros de procesamiento y empaque, la capacitación y asistencia técnica proporcionada en aspectos de gestión y comercialización estableciendo herramientas de apoyo como planes de comerciales y de negocios, registros de ingresos y egresos, sondeos de mercados y conformación de comisiones de comercialización han posibilitado que 750 productores (un 75% de la meta prevista) pertenecientes a las organizaciones hortícolas atendidas dentro de los resultados 1 y 2 hayan aumentado sus ingresos. De estos, 434 productores de las organizaciones: ADILAS, CORCI, RECOMHSA, ADIBA y ADIPAM (43% de la meta prevista de 1,000) han visto crecer sus ingresos más de un 50%. El promedio ponderado de aumento de los ingresos de productores hortícolas se cifra en 770 US$ por productor por año.</w:t>
      </w:r>
    </w:p>
    <w:p w14:paraId="544E258A" w14:textId="77777777" w:rsidR="0016042A" w:rsidRPr="00700B30" w:rsidRDefault="0016042A" w:rsidP="00700B30">
      <w:pPr>
        <w:numPr>
          <w:ilvl w:val="1"/>
          <w:numId w:val="7"/>
        </w:numPr>
        <w:jc w:val="both"/>
        <w:rPr>
          <w:rFonts w:ascii="Times New Roman" w:hAnsi="Times New Roman" w:cs="Times New Roman"/>
          <w:bCs/>
          <w:lang w:val="es-GT"/>
        </w:rPr>
      </w:pPr>
      <w:r w:rsidRPr="00700B30">
        <w:rPr>
          <w:rFonts w:ascii="Times New Roman" w:hAnsi="Times New Roman" w:cs="Times New Roman"/>
          <w:bCs/>
          <w:lang w:val="es-GT"/>
        </w:rPr>
        <w:t>En relación al apoyo a organizaciones de mujeres rurales, 400 mujeres adicionales han visto crecer sus ingresos gracias a las actividades desarrolladas por las organizaciones atendidas dentro del resultado 3, lo que supone un 133% de la meta inicialmente establecida que fue de 300. De estas, 238 (59% de mujeres artesanas textiles) han incrementado sus ingresos en más del 40% previsto como meta inicial.</w:t>
      </w:r>
    </w:p>
    <w:p w14:paraId="55031272" w14:textId="77777777" w:rsidR="0016042A" w:rsidRPr="00700B30" w:rsidRDefault="0016042A" w:rsidP="00700B30">
      <w:pPr>
        <w:numPr>
          <w:ilvl w:val="1"/>
          <w:numId w:val="7"/>
        </w:numPr>
        <w:jc w:val="both"/>
        <w:rPr>
          <w:rFonts w:ascii="Times New Roman" w:hAnsi="Times New Roman" w:cs="Times New Roman"/>
          <w:bCs/>
          <w:lang w:val="es-GT"/>
        </w:rPr>
      </w:pPr>
      <w:r w:rsidRPr="00700B30">
        <w:rPr>
          <w:rFonts w:ascii="Times New Roman" w:hAnsi="Times New Roman" w:cs="Times New Roman"/>
          <w:bCs/>
          <w:lang w:val="es-GT"/>
        </w:rPr>
        <w:t>Debe notarse cómo al considerar globalmente los tres primeros resultados, el proyecto ha hecho posible que 1,150 productores/as hayan visto i</w:t>
      </w:r>
      <w:bookmarkStart w:id="0" w:name="_GoBack"/>
      <w:bookmarkEnd w:id="0"/>
      <w:r w:rsidRPr="00700B30">
        <w:rPr>
          <w:rFonts w:ascii="Times New Roman" w:hAnsi="Times New Roman" w:cs="Times New Roman"/>
          <w:bCs/>
          <w:lang w:val="es-GT"/>
        </w:rPr>
        <w:t>ncrementados sus ingresos (sobre una meta de 1,300, es decir, 88% de cumplimiento), y 672 de estas en más de un 40% con respecto a las 780 que se tenían como meta (igualmente un 86%). La consideración global de los resultados 2 y 3 arroja igualmente una cantidad de 480 mujeres (el 42% del total) que han visto incrementados sus ingresos.</w:t>
      </w:r>
    </w:p>
    <w:p w14:paraId="71E78E28" w14:textId="77777777" w:rsidR="0016042A" w:rsidRPr="00700B30" w:rsidRDefault="0016042A" w:rsidP="00700B30">
      <w:pPr>
        <w:numPr>
          <w:ilvl w:val="1"/>
          <w:numId w:val="7"/>
        </w:numPr>
        <w:jc w:val="both"/>
        <w:rPr>
          <w:rFonts w:ascii="Times New Roman" w:hAnsi="Times New Roman" w:cs="Times New Roman"/>
          <w:bCs/>
          <w:lang w:val="es-GT"/>
        </w:rPr>
      </w:pPr>
      <w:r w:rsidRPr="00700B30">
        <w:rPr>
          <w:rFonts w:ascii="Times New Roman" w:hAnsi="Times New Roman" w:cs="Times New Roman"/>
          <w:bCs/>
          <w:lang w:val="es-GT"/>
        </w:rPr>
        <w:t xml:space="preserve">El aumento en productividad que figuraba como meta en el proyecto (indicadores al nivel del resultado 1 que manifestaba un 40% de incremento) era difícil de alcanzar dada la especialización que ciertos grupos ya tenían en aspectos puramente agronómicos. El apoyo que el proyecto ha proporcionado a </w:t>
      </w:r>
      <w:r w:rsidRPr="00700B30">
        <w:rPr>
          <w:rFonts w:ascii="Times New Roman" w:hAnsi="Times New Roman" w:cs="Times New Roman"/>
          <w:bCs/>
          <w:lang w:val="es-GT"/>
        </w:rPr>
        <w:lastRenderedPageBreak/>
        <w:t>estos grupos se ha traducido de manera más evidente en la reducción de costos unitarios en la producción hortícola, incremento en rendimiento por unidad de área y mejoras en los procesos de comercialización.</w:t>
      </w:r>
    </w:p>
    <w:p w14:paraId="5B458034" w14:textId="77777777" w:rsidR="0016042A" w:rsidRPr="00700B30" w:rsidRDefault="0016042A" w:rsidP="00700B30">
      <w:pPr>
        <w:numPr>
          <w:ilvl w:val="1"/>
          <w:numId w:val="7"/>
        </w:numPr>
        <w:jc w:val="both"/>
        <w:rPr>
          <w:rFonts w:ascii="Times New Roman" w:hAnsi="Times New Roman" w:cs="Times New Roman"/>
          <w:bCs/>
          <w:lang w:val="es-GT"/>
        </w:rPr>
      </w:pPr>
      <w:r w:rsidRPr="00700B30">
        <w:rPr>
          <w:rFonts w:ascii="Times New Roman" w:hAnsi="Times New Roman" w:cs="Times New Roman"/>
          <w:bCs/>
          <w:lang w:val="es-GT"/>
        </w:rPr>
        <w:t xml:space="preserve">En consecuencia, el Proyecto ATINAR II, ha logrado una importante contribución a la promoción del desarrollo económico y a la mejora de los ingresos de los productores de las organizaciones que apoyo.  </w:t>
      </w:r>
    </w:p>
    <w:p w14:paraId="1454257B" w14:textId="77777777" w:rsidR="0016042A" w:rsidRPr="00700B30" w:rsidRDefault="0016042A" w:rsidP="00700B30">
      <w:pPr>
        <w:ind w:left="1080"/>
        <w:jc w:val="both"/>
        <w:rPr>
          <w:rFonts w:ascii="Times New Roman" w:hAnsi="Times New Roman" w:cs="Times New Roman"/>
          <w:bCs/>
          <w:lang w:val="es-GT"/>
        </w:rPr>
      </w:pPr>
    </w:p>
    <w:p w14:paraId="7B2EAA4F" w14:textId="77777777" w:rsidR="0016042A" w:rsidRPr="00700B30" w:rsidRDefault="0016042A" w:rsidP="00700B30">
      <w:pPr>
        <w:numPr>
          <w:ilvl w:val="0"/>
          <w:numId w:val="4"/>
        </w:numPr>
        <w:jc w:val="both"/>
        <w:rPr>
          <w:rFonts w:ascii="Times New Roman" w:hAnsi="Times New Roman" w:cs="Times New Roman"/>
          <w:lang w:val="es-ES"/>
        </w:rPr>
      </w:pPr>
      <w:r w:rsidRPr="00700B30">
        <w:rPr>
          <w:rFonts w:ascii="Times New Roman" w:hAnsi="Times New Roman" w:cs="Times New Roman"/>
          <w:lang w:val="es-ES"/>
        </w:rPr>
        <w:t>En lo que respecta a las acciones con familias de autoconsumo (resultado 4):</w:t>
      </w:r>
    </w:p>
    <w:p w14:paraId="4848959B" w14:textId="77777777" w:rsidR="0016042A" w:rsidRPr="00700B30" w:rsidRDefault="0016042A" w:rsidP="00700B30">
      <w:pPr>
        <w:numPr>
          <w:ilvl w:val="1"/>
          <w:numId w:val="8"/>
        </w:numPr>
        <w:jc w:val="both"/>
        <w:rPr>
          <w:rFonts w:ascii="Times New Roman" w:hAnsi="Times New Roman" w:cs="Times New Roman"/>
          <w:lang w:val="es-ES"/>
        </w:rPr>
      </w:pPr>
      <w:r w:rsidRPr="00700B30">
        <w:rPr>
          <w:rFonts w:ascii="Times New Roman" w:hAnsi="Times New Roman" w:cs="Times New Roman"/>
          <w:lang w:val="es-ES"/>
        </w:rPr>
        <w:t xml:space="preserve">Si bien se llevaron a cabo actividades relacionadas con la selección </w:t>
      </w:r>
      <w:proofErr w:type="spellStart"/>
      <w:r w:rsidRPr="00700B30">
        <w:rPr>
          <w:rFonts w:ascii="Times New Roman" w:hAnsi="Times New Roman" w:cs="Times New Roman"/>
          <w:lang w:val="es-ES"/>
        </w:rPr>
        <w:t>masal</w:t>
      </w:r>
      <w:proofErr w:type="spellEnd"/>
      <w:r w:rsidRPr="00700B30">
        <w:rPr>
          <w:rFonts w:ascii="Times New Roman" w:hAnsi="Times New Roman" w:cs="Times New Roman"/>
          <w:lang w:val="es-ES"/>
        </w:rPr>
        <w:t xml:space="preserve"> de semilla, huertos familiares integrales, profilaxis pecuaria en aves principalmente, prácticas higiénicas y de hogar saludable, estas no se han traducido en resultados a mayor escala y de atención total al número de familias definidas en la meta (2,000 familias). De manera que 858 familias han implementado prácticas de patio/milpa (43% de la meta), 1,963 familias han implementado prácticas de milpa (principalmente selección </w:t>
      </w:r>
      <w:proofErr w:type="spellStart"/>
      <w:r w:rsidRPr="00700B30">
        <w:rPr>
          <w:rFonts w:ascii="Times New Roman" w:hAnsi="Times New Roman" w:cs="Times New Roman"/>
          <w:lang w:val="es-ES"/>
        </w:rPr>
        <w:t>masal</w:t>
      </w:r>
      <w:proofErr w:type="spellEnd"/>
      <w:r w:rsidRPr="00700B30">
        <w:rPr>
          <w:rFonts w:ascii="Times New Roman" w:hAnsi="Times New Roman" w:cs="Times New Roman"/>
          <w:lang w:val="es-ES"/>
        </w:rPr>
        <w:t xml:space="preserve"> en maíces criollos) y 663 implementan prácticas de hogar saludable (33%). </w:t>
      </w:r>
    </w:p>
    <w:p w14:paraId="23A02D5B" w14:textId="77777777" w:rsidR="0016042A" w:rsidRPr="00700B30" w:rsidRDefault="0016042A" w:rsidP="00700B30">
      <w:pPr>
        <w:numPr>
          <w:ilvl w:val="1"/>
          <w:numId w:val="8"/>
        </w:numPr>
        <w:jc w:val="both"/>
        <w:rPr>
          <w:rFonts w:ascii="Times New Roman" w:hAnsi="Times New Roman" w:cs="Times New Roman"/>
          <w:lang w:val="es-ES"/>
        </w:rPr>
      </w:pPr>
      <w:r w:rsidRPr="00700B30">
        <w:rPr>
          <w:rFonts w:ascii="Times New Roman" w:hAnsi="Times New Roman" w:cs="Times New Roman"/>
          <w:lang w:val="es-ES"/>
        </w:rPr>
        <w:t xml:space="preserve">El Proyecto deja una red de 81 promotores comunitarios plenamente capacitados en selección </w:t>
      </w:r>
      <w:proofErr w:type="spellStart"/>
      <w:r w:rsidRPr="00700B30">
        <w:rPr>
          <w:rFonts w:ascii="Times New Roman" w:hAnsi="Times New Roman" w:cs="Times New Roman"/>
          <w:lang w:val="es-ES"/>
        </w:rPr>
        <w:t>masal</w:t>
      </w:r>
      <w:proofErr w:type="spellEnd"/>
      <w:r w:rsidRPr="00700B30">
        <w:rPr>
          <w:rFonts w:ascii="Times New Roman" w:hAnsi="Times New Roman" w:cs="Times New Roman"/>
          <w:lang w:val="es-ES"/>
        </w:rPr>
        <w:t xml:space="preserve"> de semilla, huertos familiares integrales y profilaxis animal lo que representa recurso humano local capacitado para desarrollar procesos de capacitación y asistencia en las comunidades de intervención de ATINAR II, así mismo 16  reservas comunitarias de semilla con una gran riqueza en diversidad de variedades criollas y colores de grano que representan un mecanismo de gestión del riesgo antes desastres climáticos para 1,963 familias, pudiendo tener la capacidad de sembrar en caso de pérdida total de semilla una extensión con siembra de maíces criollo de 251 Ha.</w:t>
      </w:r>
    </w:p>
    <w:p w14:paraId="52F8D1ED" w14:textId="77777777" w:rsidR="0016042A" w:rsidRPr="00700B30" w:rsidRDefault="0016042A" w:rsidP="00700B30">
      <w:pPr>
        <w:numPr>
          <w:ilvl w:val="1"/>
          <w:numId w:val="8"/>
        </w:numPr>
        <w:jc w:val="both"/>
        <w:rPr>
          <w:rFonts w:ascii="Times New Roman" w:hAnsi="Times New Roman" w:cs="Times New Roman"/>
          <w:lang w:val="es-ES"/>
        </w:rPr>
      </w:pPr>
      <w:r w:rsidRPr="00700B30">
        <w:rPr>
          <w:rFonts w:ascii="Times New Roman" w:hAnsi="Times New Roman" w:cs="Times New Roman"/>
          <w:lang w:val="es-ES"/>
        </w:rPr>
        <w:t xml:space="preserve">El bajo nivel de actividad es consecuencia directa de la imposibilidad por parte de MAGA de hacer frente a la totalidad de los compromisos adquiridos para la financiación de este componente, principalmente en la facilitación de insumos. </w:t>
      </w:r>
    </w:p>
    <w:p w14:paraId="2E9A5115" w14:textId="77777777" w:rsidR="0016042A" w:rsidRPr="00700B30" w:rsidRDefault="0016042A" w:rsidP="00700B30">
      <w:pPr>
        <w:numPr>
          <w:ilvl w:val="0"/>
          <w:numId w:val="8"/>
        </w:numPr>
        <w:jc w:val="both"/>
        <w:rPr>
          <w:rFonts w:ascii="Times New Roman" w:hAnsi="Times New Roman" w:cs="Times New Roman"/>
          <w:lang w:val="es-ES"/>
        </w:rPr>
      </w:pPr>
      <w:r w:rsidRPr="00700B30">
        <w:rPr>
          <w:rFonts w:ascii="Times New Roman" w:hAnsi="Times New Roman" w:cs="Times New Roman"/>
          <w:lang w:val="es-ES"/>
        </w:rPr>
        <w:t xml:space="preserve">En líneas generales puede concluirse que la problemática fue correctamente identificada en su momento y que las soluciones propuestas fueron las adecuadas. Existe una clara y lógica sucesión de relaciones causa-efecto desde la ejecución de las actividades hasta la consecución de los objetivos, pese a que en algunos casos no se hayan alcanzado las metas cuantitativas fijadas al inicio. </w:t>
      </w:r>
    </w:p>
    <w:p w14:paraId="71256040" w14:textId="77777777" w:rsidR="0016042A" w:rsidRPr="00700B30" w:rsidRDefault="0016042A" w:rsidP="00700B30">
      <w:pPr>
        <w:numPr>
          <w:ilvl w:val="0"/>
          <w:numId w:val="8"/>
        </w:numPr>
        <w:jc w:val="both"/>
        <w:rPr>
          <w:rFonts w:ascii="Times New Roman" w:hAnsi="Times New Roman" w:cs="Times New Roman"/>
          <w:lang w:val="es-ES"/>
        </w:rPr>
      </w:pPr>
      <w:r w:rsidRPr="00700B30">
        <w:rPr>
          <w:rFonts w:ascii="Times New Roman" w:hAnsi="Times New Roman" w:cs="Times New Roman"/>
          <w:lang w:val="es-ES"/>
        </w:rPr>
        <w:t xml:space="preserve">Los procesos de capacitación y asistencia técnica a productores y familias de autoconsumo fueron de gran relevancia y adopción, la estrategia utilizada fue utilizando el enfoque cascada de manera de lograr una masificación de conocimientos de forma horizontal fortaleciendo las capacidades de líderes y </w:t>
      </w:r>
      <w:proofErr w:type="spellStart"/>
      <w:r w:rsidRPr="00700B30">
        <w:rPr>
          <w:rFonts w:ascii="Times New Roman" w:hAnsi="Times New Roman" w:cs="Times New Roman"/>
          <w:lang w:val="es-ES"/>
        </w:rPr>
        <w:t>liderezas</w:t>
      </w:r>
      <w:proofErr w:type="spellEnd"/>
      <w:r w:rsidRPr="00700B30">
        <w:rPr>
          <w:rFonts w:ascii="Times New Roman" w:hAnsi="Times New Roman" w:cs="Times New Roman"/>
          <w:lang w:val="es-ES"/>
        </w:rPr>
        <w:t xml:space="preserve"> en las organizaciones y promotores y promotoras para el caso de familias de autoconsumo quienes tuvieron gran protagonismo en los resultados alcanzados y dejan una riqueza de formación de recurso humano local en las organizaciones y comunidades atendidas.</w:t>
      </w:r>
    </w:p>
    <w:p w14:paraId="41EA7E59" w14:textId="77777777" w:rsidR="0016042A" w:rsidRPr="00700B30" w:rsidRDefault="0016042A" w:rsidP="00700B30">
      <w:pPr>
        <w:numPr>
          <w:ilvl w:val="0"/>
          <w:numId w:val="8"/>
        </w:numPr>
        <w:jc w:val="both"/>
        <w:rPr>
          <w:rFonts w:ascii="Times New Roman" w:hAnsi="Times New Roman" w:cs="Times New Roman"/>
          <w:lang w:val="es-ES"/>
        </w:rPr>
      </w:pPr>
      <w:r w:rsidRPr="00700B30">
        <w:rPr>
          <w:rFonts w:ascii="Times New Roman" w:hAnsi="Times New Roman" w:cs="Times New Roman"/>
          <w:lang w:val="es-ES"/>
        </w:rPr>
        <w:t>La ejecución presupuestaria al cierre técnico del Proyecto (noviembre 2011), alcanza el 96 %, sin embargo, existe un cierre administrativo que comprende el período de septiembre a diciembre 2011 en donde se harán efectivos compromisos pendientes de pago y erogación de gastos de funcionamiento para la operación de sus acciones de cierre.</w:t>
      </w:r>
    </w:p>
    <w:p w14:paraId="5BFDE2FD" w14:textId="77777777" w:rsidR="0016042A" w:rsidRPr="00700B30" w:rsidRDefault="0016042A" w:rsidP="00700B30">
      <w:pPr>
        <w:numPr>
          <w:ilvl w:val="0"/>
          <w:numId w:val="8"/>
        </w:numPr>
        <w:jc w:val="both"/>
        <w:rPr>
          <w:rFonts w:ascii="Times New Roman" w:hAnsi="Times New Roman" w:cs="Times New Roman"/>
          <w:lang w:val="es-ES"/>
        </w:rPr>
      </w:pPr>
      <w:r w:rsidRPr="00700B30">
        <w:rPr>
          <w:rFonts w:ascii="Times New Roman" w:hAnsi="Times New Roman" w:cs="Times New Roman"/>
          <w:lang w:val="es-ES"/>
        </w:rPr>
        <w:t xml:space="preserve">La existencia de una fase preparatoria fue uno de los puntos clave para la eficiente ejecución de las actividades y la consecución de gran parte de los resultados, desde el diseño y elaboración de línea de base, planificación conjunta, la ejecución complementaria y el registro de resultados alcanzados por ATINAR II. </w:t>
      </w:r>
    </w:p>
    <w:p w14:paraId="35F9E8C4" w14:textId="77777777" w:rsidR="0016042A" w:rsidRPr="00700B30" w:rsidRDefault="0016042A" w:rsidP="00700B30">
      <w:pPr>
        <w:numPr>
          <w:ilvl w:val="0"/>
          <w:numId w:val="8"/>
        </w:numPr>
        <w:jc w:val="both"/>
        <w:rPr>
          <w:rFonts w:ascii="Times New Roman" w:hAnsi="Times New Roman" w:cs="Times New Roman"/>
          <w:lang w:val="es-ES"/>
        </w:rPr>
      </w:pPr>
      <w:r w:rsidRPr="00700B30">
        <w:rPr>
          <w:rFonts w:ascii="Times New Roman" w:hAnsi="Times New Roman" w:cs="Times New Roman"/>
          <w:lang w:val="es-ES"/>
        </w:rPr>
        <w:t xml:space="preserve">La consecución de estos resultados no es consecuencia del trabajo exclusivo del Proyecto ATINAR II. Por un lado se parte de un proceso de varios años que en el caso de algunas </w:t>
      </w:r>
      <w:r w:rsidRPr="00700B30">
        <w:rPr>
          <w:rFonts w:ascii="Times New Roman" w:hAnsi="Times New Roman" w:cs="Times New Roman"/>
          <w:lang w:val="es-ES"/>
        </w:rPr>
        <w:lastRenderedPageBreak/>
        <w:t>organizaciones es incluso anterior al proyecto ATINAR II, y que situó a estas en una situación óptima para aprovechar al 100% los productos (“los servicios”) generados por el proyecto. Por otro lado, el proyecto contribuyó a formar una gran alianza institucional con representantes locales de las instituciones nacionales, autoridades locales, Mancomunidades, sociedad civil y empresa privada, en gran medida liderada por FAO y las mancomunidades, y que generó un impulso multiplicador a las acciones del proyecto y de sus aliados.</w:t>
      </w:r>
    </w:p>
    <w:p w14:paraId="4F636D69" w14:textId="77777777" w:rsidR="0016042A" w:rsidRPr="00700B30" w:rsidRDefault="0016042A" w:rsidP="00700B30">
      <w:pPr>
        <w:numPr>
          <w:ilvl w:val="0"/>
          <w:numId w:val="8"/>
        </w:numPr>
        <w:jc w:val="both"/>
        <w:rPr>
          <w:rFonts w:ascii="Times New Roman" w:hAnsi="Times New Roman" w:cs="Times New Roman"/>
          <w:lang w:val="es-ES"/>
        </w:rPr>
      </w:pPr>
      <w:r w:rsidRPr="00700B30">
        <w:rPr>
          <w:rFonts w:ascii="Times New Roman" w:hAnsi="Times New Roman" w:cs="Times New Roman"/>
          <w:lang w:val="es-ES"/>
        </w:rPr>
        <w:t>El enfoque estratégico del proyecto en sus resultados 1, 2 y 3 contempló una ruta de proceso para la consolidación y fortalecimiento de las organizaciones. En dicha ruta de proceso, cada etapa superada por una determinada organización necesita de nuevas ofertas por parte del proyecto y sus aliados como respuesta a las nuevas demandas generadas. En este sentido el proyecto ha sido exitoso e innovador.</w:t>
      </w:r>
    </w:p>
    <w:p w14:paraId="3469368D" w14:textId="77777777" w:rsidR="0016042A" w:rsidRPr="00700B30" w:rsidRDefault="0016042A" w:rsidP="00700B30">
      <w:pPr>
        <w:numPr>
          <w:ilvl w:val="0"/>
          <w:numId w:val="8"/>
        </w:numPr>
        <w:jc w:val="both"/>
        <w:rPr>
          <w:rFonts w:ascii="Times New Roman" w:hAnsi="Times New Roman" w:cs="Times New Roman"/>
          <w:lang w:val="es-ES"/>
        </w:rPr>
      </w:pPr>
      <w:r w:rsidRPr="00700B30">
        <w:rPr>
          <w:rFonts w:ascii="Times New Roman" w:hAnsi="Times New Roman" w:cs="Times New Roman"/>
          <w:lang w:val="es-ES"/>
        </w:rPr>
        <w:t>El Proyecto ATINAR II contribuye a que las BPA y las BPM se perciban no sólo como requisitos enmarcados para la comercialización sino como beneficios tangibles para los individuos y sus familias.</w:t>
      </w:r>
    </w:p>
    <w:p w14:paraId="435E9E28" w14:textId="77777777" w:rsidR="0016042A" w:rsidRPr="00700B30" w:rsidRDefault="0016042A" w:rsidP="00700B30">
      <w:pPr>
        <w:numPr>
          <w:ilvl w:val="0"/>
          <w:numId w:val="8"/>
        </w:numPr>
        <w:jc w:val="both"/>
        <w:rPr>
          <w:rFonts w:ascii="Times New Roman" w:hAnsi="Times New Roman" w:cs="Times New Roman"/>
          <w:lang w:val="es-ES"/>
        </w:rPr>
      </w:pPr>
      <w:r w:rsidRPr="00700B30">
        <w:rPr>
          <w:rFonts w:ascii="Times New Roman" w:hAnsi="Times New Roman" w:cs="Times New Roman"/>
          <w:lang w:val="es-GT"/>
        </w:rPr>
        <w:t>Existe un consenso entre los actores de que la “puerta de entrada” a las BPA es vincularse con un mercado que exija o requiera ciertas prácticas, a cambio de garantías de un precio estable por los productos. Una vez que los productores comienzan la aplicación  de BPA, las van internalizando y se van convenciendo de un conjunto de beneficios que exceden el criterio económico de mercado.</w:t>
      </w:r>
    </w:p>
    <w:p w14:paraId="1FE643B1" w14:textId="77777777" w:rsidR="0016042A" w:rsidRPr="00700B30" w:rsidRDefault="0016042A" w:rsidP="00700B30">
      <w:pPr>
        <w:numPr>
          <w:ilvl w:val="0"/>
          <w:numId w:val="8"/>
        </w:numPr>
        <w:jc w:val="both"/>
        <w:rPr>
          <w:rFonts w:ascii="Times New Roman" w:hAnsi="Times New Roman" w:cs="Times New Roman"/>
          <w:lang w:val="es-ES"/>
        </w:rPr>
      </w:pPr>
      <w:r w:rsidRPr="00700B30">
        <w:rPr>
          <w:rFonts w:ascii="Times New Roman" w:hAnsi="Times New Roman" w:cs="Times New Roman"/>
          <w:lang w:val="es-GT"/>
        </w:rPr>
        <w:t>Los productores y las Organizaciones destacan que trabajar con un programa de BPA ha cambiado la forma en la que concibe y desarrolla la actividad hortícola. Se valora el hecho de priorizar y ordenar las labores, la autogestión, la planificación y la posibilidad de proyectar el agronegocio. Es fundamental conocer a quién se le va a vender y en qué condiciones, ello además de favorecer la programación, reduce significativamente los costos de transacción.</w:t>
      </w:r>
    </w:p>
    <w:p w14:paraId="5FBFAB00" w14:textId="77777777" w:rsidR="0016042A" w:rsidRPr="00700B30" w:rsidRDefault="0016042A" w:rsidP="00700B30">
      <w:pPr>
        <w:numPr>
          <w:ilvl w:val="0"/>
          <w:numId w:val="8"/>
        </w:numPr>
        <w:jc w:val="both"/>
        <w:rPr>
          <w:rFonts w:ascii="Times New Roman" w:hAnsi="Times New Roman" w:cs="Times New Roman"/>
          <w:lang w:val="es-ES"/>
        </w:rPr>
      </w:pPr>
      <w:r w:rsidRPr="00700B30">
        <w:rPr>
          <w:rFonts w:ascii="Times New Roman" w:hAnsi="Times New Roman" w:cs="Times New Roman"/>
          <w:lang w:val="es-ES"/>
        </w:rPr>
        <w:t>Las acciones focalizadas en las organizaciones de productores inciden en la comunidad (jóvenes, mujeres, empleo rural, mejora en las condiciones de vida, aumento de ingresos y del capital físico organizativo y comunitario, conservación sostenible de los recursos naturales en las cuencas abordadas, entre otros). En ese sentido, s</w:t>
      </w:r>
      <w:r w:rsidRPr="00700B30">
        <w:rPr>
          <w:rFonts w:ascii="Times New Roman" w:hAnsi="Times New Roman" w:cs="Times New Roman"/>
        </w:rPr>
        <w:t>e valora que el proceso de trabajo con las BPA ha conllevado a la generación de puestos de trabajo permanentes y sostenibles debido al aumento de la actividad y a las labores de BPM (lavado, clasificación, limpieza, maquila y empaque)</w:t>
      </w:r>
    </w:p>
    <w:p w14:paraId="571006B3" w14:textId="77777777" w:rsidR="0016042A" w:rsidRPr="00700B30" w:rsidRDefault="0016042A" w:rsidP="00700B30">
      <w:pPr>
        <w:numPr>
          <w:ilvl w:val="0"/>
          <w:numId w:val="8"/>
        </w:numPr>
        <w:jc w:val="both"/>
        <w:rPr>
          <w:rFonts w:ascii="Times New Roman" w:hAnsi="Times New Roman" w:cs="Times New Roman"/>
          <w:lang w:val="es-ES"/>
        </w:rPr>
      </w:pPr>
      <w:r w:rsidRPr="00700B30">
        <w:rPr>
          <w:rFonts w:ascii="Times New Roman" w:hAnsi="Times New Roman" w:cs="Times New Roman"/>
        </w:rPr>
        <w:t>Desde</w:t>
      </w:r>
      <w:r w:rsidRPr="00700B30">
        <w:rPr>
          <w:rFonts w:ascii="Times New Roman" w:hAnsi="Times New Roman" w:cs="Times New Roman"/>
          <w:lang w:val="es-ES"/>
        </w:rPr>
        <w:t xml:space="preserve"> el punto de vista de la seguridad alimentaria es evidente que el proyecto está diseñado para contribuir (y así lo ha hecho) de manera importante a aspectos de disponibilidad, acceso y utilización biológica. Los aspectos relativos al consumo adecuado de alimentos apenas han sido considerados por el Proyecto desde su fase de diseño, más allá de ciertas actividades realizadas dentro del resultado 4. Lo verdaderamente preocupante a juicio de la Misión de Evaluación del Proyecto, es la falta de proyectos o programas de cualquier índole que trabajen en dicho pilar de la seguridad alimentaria en las áreas de intervención de ATINAR II.</w:t>
      </w:r>
    </w:p>
    <w:p w14:paraId="1CDDE9DB" w14:textId="77777777" w:rsidR="00623530" w:rsidRPr="00700B30" w:rsidRDefault="00623530" w:rsidP="00700B30">
      <w:pPr>
        <w:jc w:val="both"/>
        <w:rPr>
          <w:rFonts w:ascii="Times New Roman" w:hAnsi="Times New Roman" w:cs="Times New Roman"/>
        </w:rPr>
      </w:pPr>
    </w:p>
    <w:p w14:paraId="08612E75" w14:textId="77777777" w:rsidR="00623530" w:rsidRDefault="00623530" w:rsidP="00700B30">
      <w:pPr>
        <w:jc w:val="both"/>
        <w:rPr>
          <w:rFonts w:ascii="Times New Roman" w:hAnsi="Times New Roman" w:cs="Times New Roman"/>
        </w:rPr>
      </w:pPr>
    </w:p>
    <w:p w14:paraId="13400550" w14:textId="77777777" w:rsidR="002E0F6E" w:rsidRPr="00FA5834" w:rsidRDefault="002E0F6E" w:rsidP="0061445A">
      <w:pPr>
        <w:jc w:val="both"/>
        <w:outlineLvl w:val="0"/>
        <w:rPr>
          <w:rFonts w:ascii="Times New Roman" w:hAnsi="Times New Roman" w:cs="Times New Roman"/>
          <w:b/>
          <w:bCs/>
          <w:lang w:val="es-GT"/>
        </w:rPr>
      </w:pPr>
      <w:r w:rsidRPr="00FA5834">
        <w:rPr>
          <w:rFonts w:ascii="Times New Roman" w:hAnsi="Times New Roman" w:cs="Times New Roman"/>
          <w:b/>
          <w:bCs/>
          <w:lang w:val="es-GT"/>
        </w:rPr>
        <w:t>Cartas de Acuerdo y Alianzas</w:t>
      </w:r>
    </w:p>
    <w:p w14:paraId="1A189A7E" w14:textId="77777777" w:rsidR="002E0F6E" w:rsidRPr="00700B30" w:rsidRDefault="002E0F6E" w:rsidP="002E0F6E">
      <w:pPr>
        <w:jc w:val="both"/>
        <w:rPr>
          <w:rFonts w:ascii="Times New Roman" w:hAnsi="Times New Roman" w:cs="Times New Roman"/>
          <w:bCs/>
          <w:lang w:val="es-GT"/>
        </w:rPr>
      </w:pPr>
    </w:p>
    <w:p w14:paraId="3CEB91BD" w14:textId="77777777" w:rsidR="002E0F6E" w:rsidRPr="00700B30" w:rsidRDefault="002E0F6E" w:rsidP="002E0F6E">
      <w:pPr>
        <w:jc w:val="both"/>
        <w:rPr>
          <w:rFonts w:ascii="Times New Roman" w:hAnsi="Times New Roman" w:cs="Times New Roman"/>
          <w:lang w:val="es-GT"/>
        </w:rPr>
      </w:pPr>
      <w:r w:rsidRPr="00700B30">
        <w:rPr>
          <w:rFonts w:ascii="Times New Roman" w:hAnsi="Times New Roman" w:cs="Times New Roman"/>
          <w:lang w:val="es-GT"/>
        </w:rPr>
        <w:t xml:space="preserve">A través de Cartas de Acuerdo como instrumento de ejecución el Proyecto ATINAR II fortaleció capacidades en las Unidades de Desarrollo Económico Local –UDEL- de las Mancomunidades: MANCUERNA, MANKATITLAN Y MANCTZOLOJYA y organizaciones de productores y familias de autoconsumo definidas en el documento de formulación del Proyecto, así mismo desarrollo en conjunto con Cámara de Productores de </w:t>
      </w:r>
      <w:r w:rsidRPr="00700B30">
        <w:rPr>
          <w:rFonts w:ascii="Times New Roman" w:hAnsi="Times New Roman" w:cs="Times New Roman"/>
          <w:lang w:val="es-GT"/>
        </w:rPr>
        <w:lastRenderedPageBreak/>
        <w:t>Leche, FUNDAP y FASAGUA; procesos de asistencia técnica especializada en temas de fortalecimiento a las organizaciones de productores de lácteos, textiles y suministro de información de precios a organizaciones hortícolas respectivamente.</w:t>
      </w:r>
    </w:p>
    <w:p w14:paraId="3442E1D1" w14:textId="77777777" w:rsidR="002E0F6E" w:rsidRPr="00700B30" w:rsidRDefault="002E0F6E" w:rsidP="002E0F6E">
      <w:pPr>
        <w:jc w:val="both"/>
        <w:rPr>
          <w:rFonts w:ascii="Times New Roman" w:hAnsi="Times New Roman" w:cs="Times New Roman"/>
          <w:lang w:val="es-GT"/>
        </w:rPr>
      </w:pPr>
    </w:p>
    <w:p w14:paraId="04DDE6D2" w14:textId="77777777" w:rsidR="002E0F6E" w:rsidRPr="00700B30" w:rsidRDefault="002E0F6E" w:rsidP="002E0F6E">
      <w:pPr>
        <w:jc w:val="both"/>
        <w:rPr>
          <w:rFonts w:ascii="Times New Roman" w:hAnsi="Times New Roman" w:cs="Times New Roman"/>
          <w:lang w:val="es-GT"/>
        </w:rPr>
      </w:pPr>
      <w:r w:rsidRPr="00700B30">
        <w:rPr>
          <w:rFonts w:ascii="Times New Roman" w:hAnsi="Times New Roman" w:cs="Times New Roman"/>
          <w:lang w:val="es-GT"/>
        </w:rPr>
        <w:t>ATINAR II, estableció durante el tiempo de ejecución: 6 Cartas de Acuerdo con diferentes instancias por un monto en quetzales de Q. 2,113,500  (US$ 257,107.16), que representa el 12 % del presupuesto total del Proyecto.</w:t>
      </w:r>
    </w:p>
    <w:p w14:paraId="4FECBC3D" w14:textId="77777777" w:rsidR="002E0F6E" w:rsidRPr="00700B30" w:rsidRDefault="002E0F6E" w:rsidP="002E0F6E">
      <w:pPr>
        <w:jc w:val="both"/>
        <w:rPr>
          <w:rFonts w:ascii="Times New Roman" w:hAnsi="Times New Roman" w:cs="Times New Roman"/>
          <w:bCs/>
          <w:lang w:val="es-GT"/>
        </w:rPr>
      </w:pPr>
    </w:p>
    <w:p w14:paraId="47FE419B" w14:textId="77777777" w:rsidR="002E0F6E" w:rsidRPr="00FA5834" w:rsidRDefault="002E0F6E" w:rsidP="0061445A">
      <w:pPr>
        <w:jc w:val="both"/>
        <w:outlineLvl w:val="0"/>
        <w:rPr>
          <w:rFonts w:ascii="Times New Roman" w:hAnsi="Times New Roman" w:cs="Times New Roman"/>
          <w:bCs/>
          <w:i/>
          <w:lang w:val="es-GT"/>
        </w:rPr>
      </w:pPr>
      <w:r w:rsidRPr="00FA5834">
        <w:rPr>
          <w:rFonts w:ascii="Times New Roman" w:hAnsi="Times New Roman" w:cs="Times New Roman"/>
          <w:bCs/>
          <w:i/>
          <w:lang w:val="es-GT"/>
        </w:rPr>
        <w:t>Publicaciones</w:t>
      </w:r>
    </w:p>
    <w:p w14:paraId="0027C229" w14:textId="77777777" w:rsidR="002E0F6E" w:rsidRPr="00700B30" w:rsidRDefault="002E0F6E" w:rsidP="002E0F6E">
      <w:pPr>
        <w:jc w:val="both"/>
        <w:rPr>
          <w:rFonts w:ascii="Times New Roman" w:hAnsi="Times New Roman" w:cs="Times New Roman"/>
          <w:bCs/>
          <w:lang w:val="es-GT"/>
        </w:rPr>
      </w:pPr>
    </w:p>
    <w:p w14:paraId="1050531F" w14:textId="77777777" w:rsidR="002E0F6E" w:rsidRPr="00700B30" w:rsidRDefault="002E0F6E" w:rsidP="002E0F6E">
      <w:pPr>
        <w:jc w:val="both"/>
        <w:rPr>
          <w:rFonts w:ascii="Times New Roman" w:hAnsi="Times New Roman" w:cs="Times New Roman"/>
          <w:bCs/>
          <w:lang w:val="es-GT"/>
        </w:rPr>
      </w:pPr>
      <w:r w:rsidRPr="00700B30">
        <w:rPr>
          <w:rFonts w:ascii="Times New Roman" w:hAnsi="Times New Roman" w:cs="Times New Roman"/>
          <w:bCs/>
          <w:lang w:val="es-GT"/>
        </w:rPr>
        <w:t xml:space="preserve">El Proyecto ATINAR II </w:t>
      </w:r>
      <w:r>
        <w:rPr>
          <w:rFonts w:ascii="Times New Roman" w:hAnsi="Times New Roman" w:cs="Times New Roman"/>
          <w:bCs/>
          <w:lang w:val="es-GT"/>
        </w:rPr>
        <w:t>sin duda generó capacidades entre los beneficiarios y en al trabajo con instituciones alidados. Para poder darle una condición mínima necesaria de sostnibilidad a los conocimientos y capacidades generadas se publicaron varios materiales temátitcos. Se priorizó la</w:t>
      </w:r>
      <w:r w:rsidRPr="00700B30">
        <w:rPr>
          <w:rFonts w:ascii="Times New Roman" w:hAnsi="Times New Roman" w:cs="Times New Roman"/>
          <w:bCs/>
          <w:lang w:val="es-GT"/>
        </w:rPr>
        <w:t xml:space="preserve"> public</w:t>
      </w:r>
      <w:r>
        <w:rPr>
          <w:rFonts w:ascii="Times New Roman" w:hAnsi="Times New Roman" w:cs="Times New Roman"/>
          <w:bCs/>
          <w:lang w:val="es-GT"/>
        </w:rPr>
        <w:t>ación de documentos basados en tres</w:t>
      </w:r>
      <w:r w:rsidRPr="00700B30">
        <w:rPr>
          <w:rFonts w:ascii="Times New Roman" w:hAnsi="Times New Roman" w:cs="Times New Roman"/>
          <w:bCs/>
          <w:lang w:val="es-GT"/>
        </w:rPr>
        <w:t xml:space="preserve"> niveles:</w:t>
      </w:r>
      <w:r>
        <w:rPr>
          <w:rStyle w:val="FootnoteReference"/>
          <w:rFonts w:ascii="Times New Roman" w:hAnsi="Times New Roman" w:cs="Times New Roman"/>
          <w:bCs/>
          <w:lang w:val="es-GT"/>
        </w:rPr>
        <w:footnoteReference w:id="2"/>
      </w:r>
      <w:r w:rsidRPr="00700B30">
        <w:rPr>
          <w:rFonts w:ascii="Times New Roman" w:hAnsi="Times New Roman" w:cs="Times New Roman"/>
          <w:bCs/>
          <w:lang w:val="es-GT"/>
        </w:rPr>
        <w:t xml:space="preserve"> </w:t>
      </w:r>
    </w:p>
    <w:p w14:paraId="749196E4" w14:textId="77777777" w:rsidR="002E0F6E" w:rsidRPr="00FA5834" w:rsidRDefault="002E0F6E" w:rsidP="002E0F6E">
      <w:pPr>
        <w:pStyle w:val="ListParagraph"/>
        <w:numPr>
          <w:ilvl w:val="0"/>
          <w:numId w:val="13"/>
        </w:numPr>
        <w:jc w:val="both"/>
        <w:rPr>
          <w:rFonts w:ascii="Times New Roman" w:hAnsi="Times New Roman" w:cs="Times New Roman"/>
          <w:bCs/>
          <w:lang w:val="es-GT"/>
        </w:rPr>
      </w:pPr>
      <w:r w:rsidRPr="00FA5834">
        <w:rPr>
          <w:rFonts w:ascii="Times New Roman" w:hAnsi="Times New Roman" w:cs="Times New Roman"/>
          <w:bCs/>
          <w:lang w:val="es-GT"/>
        </w:rPr>
        <w:t xml:space="preserve">publicación de documentos de soporte para el aprendizaje de productoras/es temas específicos, </w:t>
      </w:r>
    </w:p>
    <w:p w14:paraId="10568DBE" w14:textId="77777777" w:rsidR="002E0F6E" w:rsidRPr="00FA5834" w:rsidRDefault="002E0F6E" w:rsidP="002E0F6E">
      <w:pPr>
        <w:pStyle w:val="ListParagraph"/>
        <w:numPr>
          <w:ilvl w:val="0"/>
          <w:numId w:val="13"/>
        </w:numPr>
        <w:jc w:val="both"/>
        <w:rPr>
          <w:rFonts w:ascii="Times New Roman" w:hAnsi="Times New Roman" w:cs="Times New Roman"/>
          <w:bCs/>
          <w:lang w:val="es-GT"/>
        </w:rPr>
      </w:pPr>
      <w:r w:rsidRPr="00FA5834">
        <w:rPr>
          <w:rFonts w:ascii="Times New Roman" w:hAnsi="Times New Roman" w:cs="Times New Roman"/>
          <w:bCs/>
          <w:lang w:val="es-GT"/>
        </w:rPr>
        <w:t xml:space="preserve">publicación de documentos para la gestión del conocimiento sobre las experiencias desarrolladas en la ejecución de ATINAR II y </w:t>
      </w:r>
    </w:p>
    <w:p w14:paraId="638860B4" w14:textId="77777777" w:rsidR="002E0F6E" w:rsidRPr="00FA5834" w:rsidRDefault="002E0F6E" w:rsidP="002E0F6E">
      <w:pPr>
        <w:pStyle w:val="ListParagraph"/>
        <w:numPr>
          <w:ilvl w:val="0"/>
          <w:numId w:val="13"/>
        </w:numPr>
        <w:jc w:val="both"/>
        <w:rPr>
          <w:rFonts w:ascii="Times New Roman" w:hAnsi="Times New Roman" w:cs="Times New Roman"/>
          <w:bCs/>
          <w:lang w:val="es-GT"/>
        </w:rPr>
      </w:pPr>
      <w:r w:rsidRPr="00FA5834">
        <w:rPr>
          <w:rFonts w:ascii="Times New Roman" w:hAnsi="Times New Roman" w:cs="Times New Roman"/>
          <w:bCs/>
          <w:lang w:val="es-GT"/>
        </w:rPr>
        <w:t xml:space="preserve">video documental </w:t>
      </w:r>
      <w:bookmarkStart w:id="1" w:name="OLE_LINK11"/>
      <w:bookmarkStart w:id="2" w:name="OLE_LINK12"/>
      <w:r w:rsidRPr="00FA5834">
        <w:rPr>
          <w:rFonts w:ascii="Times New Roman" w:hAnsi="Times New Roman" w:cs="Times New Roman"/>
          <w:bCs/>
          <w:lang w:val="es-GT"/>
        </w:rPr>
        <w:t>informativo sobre los resultados alcanzados por el Proyecto ATINAR II.</w:t>
      </w:r>
      <w:bookmarkEnd w:id="1"/>
      <w:bookmarkEnd w:id="2"/>
    </w:p>
    <w:p w14:paraId="01F2B974" w14:textId="77777777" w:rsidR="002E0F6E" w:rsidRDefault="002E0F6E" w:rsidP="00700B30">
      <w:pPr>
        <w:jc w:val="both"/>
        <w:rPr>
          <w:rFonts w:ascii="Times New Roman" w:hAnsi="Times New Roman" w:cs="Times New Roman"/>
        </w:rPr>
      </w:pPr>
    </w:p>
    <w:p w14:paraId="57C1455F" w14:textId="77777777" w:rsidR="002E0F6E" w:rsidRPr="002E0F6E" w:rsidRDefault="002E0F6E" w:rsidP="0061445A">
      <w:pPr>
        <w:jc w:val="both"/>
        <w:outlineLvl w:val="0"/>
        <w:rPr>
          <w:rFonts w:ascii="Times New Roman" w:hAnsi="Times New Roman" w:cs="Times New Roman"/>
          <w:b/>
        </w:rPr>
      </w:pPr>
      <w:r w:rsidRPr="002E0F6E">
        <w:rPr>
          <w:rFonts w:ascii="Times New Roman" w:hAnsi="Times New Roman" w:cs="Times New Roman"/>
          <w:b/>
        </w:rPr>
        <w:t>Sostenibilidad</w:t>
      </w:r>
    </w:p>
    <w:p w14:paraId="2C8F2A20" w14:textId="77777777" w:rsidR="002E0F6E" w:rsidRDefault="002E0F6E" w:rsidP="00700B30">
      <w:pPr>
        <w:jc w:val="both"/>
        <w:rPr>
          <w:rFonts w:ascii="Times New Roman" w:hAnsi="Times New Roman" w:cs="Times New Roman"/>
        </w:rPr>
      </w:pPr>
    </w:p>
    <w:p w14:paraId="0B4FEB97" w14:textId="77777777" w:rsidR="002E0F6E" w:rsidRDefault="002E0F6E" w:rsidP="00700B30">
      <w:pPr>
        <w:jc w:val="both"/>
        <w:rPr>
          <w:rFonts w:ascii="Times New Roman" w:hAnsi="Times New Roman" w:cs="Times New Roman"/>
        </w:rPr>
      </w:pPr>
      <w:r>
        <w:rPr>
          <w:rFonts w:ascii="Times New Roman" w:hAnsi="Times New Roman" w:cs="Times New Roman"/>
        </w:rPr>
        <w:t xml:space="preserve">Pese a los resultados que en comparación con el marco lógico son sumamente positivo y pese a la interesante e importante cantidad de alianzas logradas esta evaluación ve pocas perspectivas para una sostenibilidad del actuar público – privado que fue fomentado por ATINAR. Es importante entender que los aportes financieros de las mancomunidades no provinieron de recursos genuinos de la mancomunidad sino de otro proyecto de cooperación, también financiado pro AECID. Este apoyo terminará en marzo del 2013 y las mancomunidades ya avisaron a los beneficiarios de ATINAR que no tendrán posibilidades de continuar con el apoyo. Por otro lado, en vista del desafío de la sostenibilidad el proyecto hizo un esfuerzo considerable para crear capacidades comerciales y capitalizar a las organizaciones de productores. Si bien este esfuerzo dio resultados positivos el grado de </w:t>
      </w:r>
      <w:r>
        <w:rPr>
          <w:rFonts w:ascii="Times New Roman" w:hAnsi="Times New Roman" w:cs="Times New Roman"/>
        </w:rPr>
        <w:lastRenderedPageBreak/>
        <w:t>consolidación de la autonomía productiva, comercial y financiera de los emprendimientos aún es frágil.</w:t>
      </w:r>
    </w:p>
    <w:p w14:paraId="140DAACB" w14:textId="77777777" w:rsidR="002E0F6E" w:rsidRDefault="002E0F6E" w:rsidP="00700B30">
      <w:pPr>
        <w:jc w:val="both"/>
        <w:rPr>
          <w:rFonts w:ascii="Times New Roman" w:hAnsi="Times New Roman" w:cs="Times New Roman"/>
        </w:rPr>
      </w:pPr>
    </w:p>
    <w:p w14:paraId="6B5DE44B" w14:textId="77777777" w:rsidR="002E0F6E" w:rsidRPr="002E0F6E" w:rsidRDefault="002E0F6E" w:rsidP="0061445A">
      <w:pPr>
        <w:jc w:val="both"/>
        <w:outlineLvl w:val="0"/>
        <w:rPr>
          <w:rFonts w:ascii="Times New Roman" w:hAnsi="Times New Roman" w:cs="Times New Roman"/>
          <w:b/>
        </w:rPr>
      </w:pPr>
      <w:r w:rsidRPr="002E0F6E">
        <w:rPr>
          <w:rFonts w:ascii="Times New Roman" w:hAnsi="Times New Roman" w:cs="Times New Roman"/>
          <w:b/>
        </w:rPr>
        <w:t>Conclusiones</w:t>
      </w:r>
    </w:p>
    <w:p w14:paraId="0C0BF414" w14:textId="77777777" w:rsidR="002E0F6E" w:rsidRDefault="002E0F6E" w:rsidP="00700B30">
      <w:pPr>
        <w:jc w:val="both"/>
        <w:rPr>
          <w:rFonts w:ascii="Times New Roman" w:hAnsi="Times New Roman" w:cs="Times New Roman"/>
        </w:rPr>
      </w:pPr>
    </w:p>
    <w:p w14:paraId="419F6D38" w14:textId="77777777" w:rsidR="002E0F6E" w:rsidRDefault="002E0F6E" w:rsidP="00700B30">
      <w:pPr>
        <w:jc w:val="both"/>
        <w:rPr>
          <w:rFonts w:ascii="Times New Roman" w:hAnsi="Times New Roman" w:cs="Times New Roman"/>
        </w:rPr>
      </w:pPr>
      <w:r>
        <w:rPr>
          <w:rFonts w:ascii="Times New Roman" w:hAnsi="Times New Roman" w:cs="Times New Roman"/>
        </w:rPr>
        <w:t>El proyecto ATINAR II logró implementar sus actividades y alcanzar sus objetivos a altos niveles, pero no logró en el corto tiempo disponible consolidar a los emprendimientos nuevos generados por el proyecto, consolidarlos suficientemente para garantizar con certeza su continuidad en el tiempo.</w:t>
      </w:r>
    </w:p>
    <w:p w14:paraId="1C2DE1E6" w14:textId="77777777" w:rsidR="002E0F6E" w:rsidRDefault="002E0F6E" w:rsidP="00700B30">
      <w:pPr>
        <w:jc w:val="both"/>
        <w:rPr>
          <w:rFonts w:ascii="Times New Roman" w:hAnsi="Times New Roman" w:cs="Times New Roman"/>
        </w:rPr>
      </w:pPr>
    </w:p>
    <w:p w14:paraId="27400541" w14:textId="77777777" w:rsidR="002E0F6E" w:rsidRDefault="002E0F6E" w:rsidP="00700B30">
      <w:pPr>
        <w:jc w:val="both"/>
        <w:rPr>
          <w:rFonts w:ascii="Times New Roman" w:hAnsi="Times New Roman" w:cs="Times New Roman"/>
        </w:rPr>
      </w:pPr>
      <w:r>
        <w:rPr>
          <w:rFonts w:ascii="Times New Roman" w:hAnsi="Times New Roman" w:cs="Times New Roman"/>
        </w:rPr>
        <w:t xml:space="preserve">Esta evaluación considera interesante la idea  del proyecto que básicamente trabaja con productores de AF en una línea de trabajo similar al apoyo productivo que ofrecen los PESA, para asociar a estos productores en una línea productiva y comercial que puede </w:t>
      </w:r>
      <w:r w:rsidR="00F3336F">
        <w:rPr>
          <w:rFonts w:ascii="Times New Roman" w:hAnsi="Times New Roman" w:cs="Times New Roman"/>
        </w:rPr>
        <w:t>o desembocar en una cadena prod</w:t>
      </w:r>
      <w:r>
        <w:rPr>
          <w:rFonts w:ascii="Times New Roman" w:hAnsi="Times New Roman" w:cs="Times New Roman"/>
        </w:rPr>
        <w:t xml:space="preserve">uctiva (ejemplo papa) o en una producción asociada para alcanzar economías de escala (ejemplo </w:t>
      </w:r>
      <w:r w:rsidR="00F3336F">
        <w:rPr>
          <w:rFonts w:ascii="Times New Roman" w:hAnsi="Times New Roman" w:cs="Times New Roman"/>
        </w:rPr>
        <w:t>zanahoria). En forma similar a los proyectos Semilla el ATINAR disponía de recursos para la compra de maquinaria o inversión en infraestructura (por ejemplo para centros de acopio). Precisamente estas inversiones permitieron alcanzar escalas de producción o generación de cadenas de valor. Esta evaluación considera esta experiencia como válida para ser considerada en futuras actividades con productores de AF en la región.</w:t>
      </w:r>
    </w:p>
    <w:p w14:paraId="5E165A24" w14:textId="77777777" w:rsidR="002E0F6E" w:rsidRDefault="002E0F6E" w:rsidP="00700B30">
      <w:pPr>
        <w:jc w:val="both"/>
        <w:rPr>
          <w:rFonts w:ascii="Times New Roman" w:hAnsi="Times New Roman" w:cs="Times New Roman"/>
        </w:rPr>
      </w:pPr>
    </w:p>
    <w:p w14:paraId="1A8CF484" w14:textId="77777777" w:rsidR="002E0F6E" w:rsidRPr="00700B30" w:rsidRDefault="002E0F6E" w:rsidP="00700B30">
      <w:pPr>
        <w:jc w:val="both"/>
        <w:rPr>
          <w:rFonts w:ascii="Times New Roman" w:hAnsi="Times New Roman" w:cs="Times New Roman"/>
        </w:rPr>
      </w:pPr>
    </w:p>
    <w:sectPr w:rsidR="002E0F6E" w:rsidRPr="00700B30" w:rsidSect="00700B3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A1E12" w14:textId="77777777" w:rsidR="0061445A" w:rsidRDefault="0061445A" w:rsidP="003A0A23">
      <w:r>
        <w:separator/>
      </w:r>
    </w:p>
  </w:endnote>
  <w:endnote w:type="continuationSeparator" w:id="0">
    <w:p w14:paraId="3148E211" w14:textId="77777777" w:rsidR="0061445A" w:rsidRDefault="0061445A" w:rsidP="003A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D32D6" w14:textId="77777777" w:rsidR="0061445A" w:rsidRDefault="0061445A" w:rsidP="003A0A23">
      <w:r>
        <w:separator/>
      </w:r>
    </w:p>
  </w:footnote>
  <w:footnote w:type="continuationSeparator" w:id="0">
    <w:p w14:paraId="2B2591ED" w14:textId="77777777" w:rsidR="0061445A" w:rsidRDefault="0061445A" w:rsidP="003A0A23">
      <w:r>
        <w:continuationSeparator/>
      </w:r>
    </w:p>
  </w:footnote>
  <w:footnote w:id="1">
    <w:p w14:paraId="6E962CB8" w14:textId="77777777" w:rsidR="0061445A" w:rsidRPr="00646DC3" w:rsidRDefault="0061445A">
      <w:pPr>
        <w:pStyle w:val="FootnoteText"/>
        <w:rPr>
          <w:rFonts w:ascii="Times New Roman" w:hAnsi="Times New Roman" w:cs="Times New Roman"/>
          <w:sz w:val="20"/>
          <w:szCs w:val="20"/>
        </w:rPr>
      </w:pPr>
      <w:r w:rsidRPr="00646DC3">
        <w:rPr>
          <w:rStyle w:val="FootnoteReference"/>
          <w:rFonts w:ascii="Times New Roman" w:hAnsi="Times New Roman" w:cs="Times New Roman"/>
          <w:sz w:val="20"/>
          <w:szCs w:val="20"/>
        </w:rPr>
        <w:footnoteRef/>
      </w:r>
      <w:r w:rsidRPr="00646DC3">
        <w:rPr>
          <w:rFonts w:ascii="Times New Roman" w:hAnsi="Times New Roman" w:cs="Times New Roman"/>
          <w:sz w:val="20"/>
          <w:szCs w:val="20"/>
        </w:rPr>
        <w:t xml:space="preserve"> Proviene de </w:t>
      </w:r>
      <w:proofErr w:type="spellStart"/>
      <w:r w:rsidRPr="00646DC3">
        <w:rPr>
          <w:rFonts w:ascii="Times New Roman" w:hAnsi="Times New Roman" w:cs="Times New Roman"/>
          <w:sz w:val="20"/>
          <w:szCs w:val="20"/>
        </w:rPr>
        <w:t>Atitlán</w:t>
      </w:r>
      <w:proofErr w:type="spellEnd"/>
      <w:r w:rsidRPr="00646DC3">
        <w:rPr>
          <w:rFonts w:ascii="Times New Roman" w:hAnsi="Times New Roman" w:cs="Times New Roman"/>
          <w:sz w:val="20"/>
          <w:szCs w:val="20"/>
        </w:rPr>
        <w:t xml:space="preserve"> y Naranjo, los nombres de los municipios donde se implementa el proyecto.</w:t>
      </w:r>
    </w:p>
  </w:footnote>
  <w:footnote w:id="2">
    <w:p w14:paraId="123E7CEB" w14:textId="77777777" w:rsidR="0061445A" w:rsidRPr="00FA5834" w:rsidRDefault="0061445A" w:rsidP="002E0F6E">
      <w:pPr>
        <w:ind w:left="360"/>
        <w:jc w:val="both"/>
        <w:rPr>
          <w:sz w:val="20"/>
          <w:szCs w:val="20"/>
        </w:rPr>
      </w:pPr>
      <w:r w:rsidRPr="00FA5834">
        <w:rPr>
          <w:rStyle w:val="FootnoteReference"/>
          <w:sz w:val="20"/>
          <w:szCs w:val="20"/>
        </w:rPr>
        <w:footnoteRef/>
      </w:r>
      <w:r w:rsidRPr="00FA5834">
        <w:rPr>
          <w:sz w:val="20"/>
          <w:szCs w:val="20"/>
        </w:rPr>
        <w:t xml:space="preserve"> </w:t>
      </w:r>
      <w:r w:rsidRPr="00FA5834">
        <w:rPr>
          <w:sz w:val="20"/>
          <w:szCs w:val="20"/>
        </w:rPr>
        <w:t>Lista de publicaciones y materiales</w:t>
      </w:r>
    </w:p>
    <w:p w14:paraId="024AF068" w14:textId="77777777" w:rsidR="0061445A" w:rsidRPr="00FA5834" w:rsidRDefault="0061445A" w:rsidP="002E0F6E">
      <w:pPr>
        <w:ind w:left="360"/>
        <w:jc w:val="both"/>
        <w:rPr>
          <w:rFonts w:ascii="Times New Roman" w:hAnsi="Times New Roman" w:cs="Times New Roman"/>
          <w:bCs/>
          <w:sz w:val="20"/>
          <w:szCs w:val="20"/>
          <w:lang w:val="es-GT"/>
        </w:rPr>
      </w:pPr>
      <w:r>
        <w:rPr>
          <w:rFonts w:ascii="Times New Roman" w:hAnsi="Times New Roman" w:cs="Times New Roman"/>
          <w:bCs/>
          <w:sz w:val="20"/>
          <w:szCs w:val="20"/>
          <w:lang w:val="es-GT"/>
        </w:rPr>
        <w:t xml:space="preserve">- </w:t>
      </w:r>
      <w:r w:rsidRPr="00FA5834">
        <w:rPr>
          <w:rFonts w:ascii="Times New Roman" w:hAnsi="Times New Roman" w:cs="Times New Roman"/>
          <w:bCs/>
          <w:sz w:val="20"/>
          <w:szCs w:val="20"/>
          <w:lang w:val="es-GT"/>
        </w:rPr>
        <w:t>Manual técnico sobre buenas prácticas de ordeño y manejo de la leche</w:t>
      </w:r>
    </w:p>
    <w:p w14:paraId="0FF57FA1" w14:textId="77777777" w:rsidR="0061445A" w:rsidRPr="00FA5834" w:rsidRDefault="0061445A" w:rsidP="002E0F6E">
      <w:pPr>
        <w:ind w:left="360"/>
        <w:jc w:val="both"/>
        <w:rPr>
          <w:rFonts w:ascii="Times New Roman" w:hAnsi="Times New Roman" w:cs="Times New Roman"/>
          <w:bCs/>
          <w:sz w:val="20"/>
          <w:szCs w:val="20"/>
          <w:lang w:val="es-GT"/>
        </w:rPr>
      </w:pPr>
      <w:r>
        <w:rPr>
          <w:rFonts w:ascii="Times New Roman" w:hAnsi="Times New Roman" w:cs="Times New Roman"/>
          <w:bCs/>
          <w:sz w:val="20"/>
          <w:szCs w:val="20"/>
          <w:lang w:val="es-GT"/>
        </w:rPr>
        <w:t xml:space="preserve">- </w:t>
      </w:r>
      <w:r w:rsidRPr="00FA5834">
        <w:rPr>
          <w:rFonts w:ascii="Times New Roman" w:hAnsi="Times New Roman" w:cs="Times New Roman"/>
          <w:bCs/>
          <w:sz w:val="20"/>
          <w:szCs w:val="20"/>
          <w:lang w:val="es-GT"/>
        </w:rPr>
        <w:t>Buenas prácticas de manufactura en la elaboración de productos lácteos</w:t>
      </w:r>
    </w:p>
    <w:p w14:paraId="582DFFA8" w14:textId="77777777" w:rsidR="0061445A" w:rsidRPr="00FA5834" w:rsidRDefault="0061445A" w:rsidP="002E0F6E">
      <w:pPr>
        <w:ind w:left="360"/>
        <w:jc w:val="both"/>
        <w:rPr>
          <w:rFonts w:ascii="Times New Roman" w:hAnsi="Times New Roman" w:cs="Times New Roman"/>
          <w:bCs/>
          <w:sz w:val="20"/>
          <w:szCs w:val="20"/>
          <w:lang w:val="es-GT"/>
        </w:rPr>
      </w:pPr>
      <w:r>
        <w:rPr>
          <w:rFonts w:ascii="Times New Roman" w:hAnsi="Times New Roman" w:cs="Times New Roman"/>
          <w:bCs/>
          <w:sz w:val="20"/>
          <w:szCs w:val="20"/>
          <w:lang w:val="es-GT"/>
        </w:rPr>
        <w:t xml:space="preserve">- </w:t>
      </w:r>
      <w:r w:rsidRPr="00FA5834">
        <w:rPr>
          <w:rFonts w:ascii="Times New Roman" w:hAnsi="Times New Roman" w:cs="Times New Roman"/>
          <w:bCs/>
          <w:sz w:val="20"/>
          <w:szCs w:val="20"/>
          <w:lang w:val="es-GT"/>
        </w:rPr>
        <w:t>Procesos de elaboración de diferentes sub productos derivados de leche bovina.</w:t>
      </w:r>
    </w:p>
    <w:p w14:paraId="77B5BB67" w14:textId="77777777" w:rsidR="0061445A" w:rsidRPr="00FA5834" w:rsidRDefault="0061445A" w:rsidP="002E0F6E">
      <w:pPr>
        <w:ind w:left="360"/>
        <w:jc w:val="both"/>
        <w:rPr>
          <w:rFonts w:ascii="Times New Roman" w:hAnsi="Times New Roman" w:cs="Times New Roman"/>
          <w:bCs/>
          <w:sz w:val="20"/>
          <w:szCs w:val="20"/>
          <w:lang w:val="es-GT"/>
        </w:rPr>
      </w:pPr>
      <w:r>
        <w:rPr>
          <w:rFonts w:ascii="Times New Roman" w:hAnsi="Times New Roman" w:cs="Times New Roman"/>
          <w:bCs/>
          <w:sz w:val="20"/>
          <w:szCs w:val="20"/>
          <w:lang w:val="es-GT"/>
        </w:rPr>
        <w:t xml:space="preserve">- </w:t>
      </w:r>
      <w:r w:rsidRPr="00FA5834">
        <w:rPr>
          <w:rFonts w:ascii="Times New Roman" w:hAnsi="Times New Roman" w:cs="Times New Roman"/>
          <w:bCs/>
          <w:sz w:val="20"/>
          <w:szCs w:val="20"/>
          <w:lang w:val="es-GT"/>
        </w:rPr>
        <w:t xml:space="preserve">Manual Técnico para el Fitomejoramiento Participativo   </w:t>
      </w:r>
    </w:p>
    <w:p w14:paraId="11E3436D" w14:textId="77777777" w:rsidR="0061445A" w:rsidRPr="00FA5834" w:rsidRDefault="0061445A" w:rsidP="002E0F6E">
      <w:pPr>
        <w:ind w:left="360"/>
        <w:jc w:val="both"/>
        <w:rPr>
          <w:rFonts w:ascii="Times New Roman" w:hAnsi="Times New Roman" w:cs="Times New Roman"/>
          <w:bCs/>
          <w:sz w:val="20"/>
          <w:szCs w:val="20"/>
          <w:lang w:val="es-GT"/>
        </w:rPr>
      </w:pPr>
      <w:r>
        <w:rPr>
          <w:rFonts w:ascii="Times New Roman" w:hAnsi="Times New Roman" w:cs="Times New Roman"/>
          <w:bCs/>
          <w:sz w:val="20"/>
          <w:szCs w:val="20"/>
          <w:lang w:val="es-GT"/>
        </w:rPr>
        <w:t xml:space="preserve">- </w:t>
      </w:r>
      <w:r w:rsidRPr="00FA5834">
        <w:rPr>
          <w:rFonts w:ascii="Times New Roman" w:hAnsi="Times New Roman" w:cs="Times New Roman"/>
          <w:bCs/>
          <w:sz w:val="20"/>
          <w:szCs w:val="20"/>
          <w:lang w:val="es-GT"/>
        </w:rPr>
        <w:t>Sistematización de la experiencia del fortalecimiento de la producción de maíz a través del fito fito mejoramiento participativo en comunidades del departamento de Sololá, Guatemala C.A.</w:t>
      </w:r>
    </w:p>
    <w:p w14:paraId="569E5A61" w14:textId="77777777" w:rsidR="0061445A" w:rsidRPr="00FA5834" w:rsidRDefault="0061445A" w:rsidP="002E0F6E">
      <w:pPr>
        <w:ind w:left="360"/>
        <w:jc w:val="both"/>
        <w:rPr>
          <w:rFonts w:ascii="Times New Roman" w:hAnsi="Times New Roman" w:cs="Times New Roman"/>
          <w:bCs/>
          <w:sz w:val="20"/>
          <w:szCs w:val="20"/>
          <w:lang w:val="es-GT"/>
        </w:rPr>
      </w:pPr>
      <w:r>
        <w:rPr>
          <w:rFonts w:ascii="Times New Roman" w:hAnsi="Times New Roman" w:cs="Times New Roman"/>
          <w:bCs/>
          <w:sz w:val="20"/>
          <w:szCs w:val="20"/>
          <w:lang w:val="es-GT"/>
        </w:rPr>
        <w:t xml:space="preserve">- </w:t>
      </w:r>
      <w:r w:rsidRPr="00FA5834">
        <w:rPr>
          <w:rFonts w:ascii="Times New Roman" w:hAnsi="Times New Roman" w:cs="Times New Roman"/>
          <w:bCs/>
          <w:sz w:val="20"/>
          <w:szCs w:val="20"/>
          <w:lang w:val="es-GT"/>
        </w:rPr>
        <w:t>Sistematización de la experiencia sobre “manejo bovino y procesamiento de leche en pequeña escala y su contribución a la economía familiar en 159 familias de 6 comunidades de la Aldea El Cedro, San Pedro Sacatepéquez, San Marcos, Guatemala C.A.</w:t>
      </w:r>
    </w:p>
    <w:p w14:paraId="13FE1468" w14:textId="77777777" w:rsidR="0061445A" w:rsidRPr="00FA5834" w:rsidRDefault="0061445A" w:rsidP="002E0F6E">
      <w:pPr>
        <w:ind w:left="360"/>
        <w:jc w:val="both"/>
        <w:rPr>
          <w:rFonts w:ascii="Times New Roman" w:hAnsi="Times New Roman" w:cs="Times New Roman"/>
          <w:bCs/>
          <w:sz w:val="20"/>
          <w:szCs w:val="20"/>
          <w:lang w:val="es-GT"/>
        </w:rPr>
      </w:pPr>
      <w:r>
        <w:rPr>
          <w:rFonts w:ascii="Times New Roman" w:hAnsi="Times New Roman" w:cs="Times New Roman"/>
          <w:bCs/>
          <w:sz w:val="20"/>
          <w:szCs w:val="20"/>
          <w:lang w:val="es-GT"/>
        </w:rPr>
        <w:t xml:space="preserve">- </w:t>
      </w:r>
      <w:r w:rsidRPr="00FA5834">
        <w:rPr>
          <w:rFonts w:ascii="Times New Roman" w:hAnsi="Times New Roman" w:cs="Times New Roman"/>
          <w:bCs/>
          <w:sz w:val="20"/>
          <w:szCs w:val="20"/>
          <w:lang w:val="es-GT"/>
        </w:rPr>
        <w:t>Sistematización sobre “factores que favorecen o limitan la implementación de buenas prácticas agrícolas –BPA- en la cadena hortícola.</w:t>
      </w:r>
    </w:p>
    <w:p w14:paraId="1561931B" w14:textId="77777777" w:rsidR="0061445A" w:rsidRPr="00FA5834" w:rsidRDefault="0061445A" w:rsidP="002E0F6E">
      <w:pPr>
        <w:ind w:left="360"/>
        <w:jc w:val="both"/>
        <w:rPr>
          <w:rFonts w:ascii="Times New Roman" w:hAnsi="Times New Roman" w:cs="Times New Roman"/>
          <w:sz w:val="20"/>
          <w:szCs w:val="20"/>
          <w:lang w:val="es-GT"/>
        </w:rPr>
      </w:pPr>
      <w:r>
        <w:rPr>
          <w:rFonts w:ascii="Times New Roman" w:hAnsi="Times New Roman" w:cs="Times New Roman"/>
          <w:bCs/>
          <w:sz w:val="20"/>
          <w:szCs w:val="20"/>
          <w:lang w:val="es-GT"/>
        </w:rPr>
        <w:t xml:space="preserve">- </w:t>
      </w:r>
      <w:r w:rsidRPr="00FA5834">
        <w:rPr>
          <w:rFonts w:ascii="Times New Roman" w:hAnsi="Times New Roman" w:cs="Times New Roman"/>
          <w:bCs/>
          <w:sz w:val="20"/>
          <w:szCs w:val="20"/>
          <w:lang w:val="es-GT"/>
        </w:rPr>
        <w:t xml:space="preserve">Estudio de caso de las experiencias de ADILAS y Mieles Selectas </w:t>
      </w:r>
      <w:r w:rsidRPr="00FA5834">
        <w:rPr>
          <w:rFonts w:ascii="Times New Roman" w:hAnsi="Times New Roman" w:cs="Times New Roman"/>
          <w:sz w:val="20"/>
          <w:szCs w:val="20"/>
          <w:lang w:val="es-GT"/>
        </w:rPr>
        <w:t>con la finalidad de conocer sus experiencias en el fortalecimiento de aspectos organizativos, administrativos, productivos y comerciales que han permitido el alcance de resultados en la generación de empleo rural y generación de ingresos económicos</w:t>
      </w:r>
    </w:p>
    <w:p w14:paraId="5B55248F" w14:textId="77777777" w:rsidR="0061445A" w:rsidRPr="00FA5834" w:rsidRDefault="0061445A" w:rsidP="002E0F6E">
      <w:pPr>
        <w:ind w:left="360"/>
        <w:jc w:val="both"/>
        <w:rPr>
          <w:rFonts w:ascii="Times New Roman" w:hAnsi="Times New Roman" w:cs="Times New Roman"/>
          <w:bCs/>
          <w:sz w:val="20"/>
          <w:szCs w:val="20"/>
          <w:lang w:val="es-GT"/>
        </w:rPr>
      </w:pPr>
      <w:r>
        <w:rPr>
          <w:rFonts w:ascii="Times New Roman" w:hAnsi="Times New Roman" w:cs="Times New Roman"/>
          <w:bCs/>
          <w:sz w:val="20"/>
          <w:szCs w:val="20"/>
          <w:lang w:val="es-GT"/>
        </w:rPr>
        <w:t xml:space="preserve">- </w:t>
      </w:r>
      <w:r w:rsidRPr="00FA5834">
        <w:rPr>
          <w:rFonts w:ascii="Times New Roman" w:hAnsi="Times New Roman" w:cs="Times New Roman"/>
          <w:bCs/>
          <w:sz w:val="20"/>
          <w:szCs w:val="20"/>
          <w:lang w:val="es-GT"/>
        </w:rPr>
        <w:t>Video documental informativo sobre los resultados alcanzados por el Proyecto ATINAR II en su fase de ejecución comprendida del mes de abril 2009 a diciembre 2011, con una duración de 15 minutos</w:t>
      </w:r>
    </w:p>
    <w:p w14:paraId="6C68732A" w14:textId="77777777" w:rsidR="0061445A" w:rsidRDefault="0061445A" w:rsidP="002E0F6E">
      <w:pPr>
        <w:pStyle w:val="FootnoteText"/>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03E1A"/>
    <w:multiLevelType w:val="hybridMultilevel"/>
    <w:tmpl w:val="4448DA5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E35301E"/>
    <w:multiLevelType w:val="hybridMultilevel"/>
    <w:tmpl w:val="3700629C"/>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12C13A6A"/>
    <w:multiLevelType w:val="hybridMultilevel"/>
    <w:tmpl w:val="F05ED652"/>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nsid w:val="139D249C"/>
    <w:multiLevelType w:val="hybridMultilevel"/>
    <w:tmpl w:val="F2568976"/>
    <w:lvl w:ilvl="0" w:tplc="C108D398">
      <w:start w:val="6"/>
      <w:numFmt w:val="upp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nsid w:val="2F98101A"/>
    <w:multiLevelType w:val="hybridMultilevel"/>
    <w:tmpl w:val="6BA415A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nsid w:val="3CD61D22"/>
    <w:multiLevelType w:val="multilevel"/>
    <w:tmpl w:val="BCA000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D31445A"/>
    <w:multiLevelType w:val="hybridMultilevel"/>
    <w:tmpl w:val="0C84928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44F767CB"/>
    <w:multiLevelType w:val="hybridMultilevel"/>
    <w:tmpl w:val="BCA0003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91A25A2"/>
    <w:multiLevelType w:val="hybridMultilevel"/>
    <w:tmpl w:val="E7F2B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2427F3"/>
    <w:multiLevelType w:val="hybridMultilevel"/>
    <w:tmpl w:val="93EC4D4C"/>
    <w:lvl w:ilvl="0" w:tplc="0C0A0001">
      <w:start w:val="1"/>
      <w:numFmt w:val="bullet"/>
      <w:lvlText w:val=""/>
      <w:lvlJc w:val="left"/>
      <w:pPr>
        <w:ind w:left="360" w:hanging="360"/>
      </w:pPr>
      <w:rPr>
        <w:rFonts w:ascii="Symbol" w:hAnsi="Symbol" w:hint="default"/>
      </w:rPr>
    </w:lvl>
    <w:lvl w:ilvl="1" w:tplc="0C0A0019">
      <w:start w:val="1"/>
      <w:numFmt w:val="lowerLetter"/>
      <w:lvlText w:val="%2."/>
      <w:lvlJc w:val="left"/>
      <w:pPr>
        <w:ind w:left="1080" w:hanging="360"/>
      </w:pPr>
      <w:rPr>
        <w:rFonts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nsid w:val="63987C44"/>
    <w:multiLevelType w:val="hybridMultilevel"/>
    <w:tmpl w:val="3EBC3130"/>
    <w:lvl w:ilvl="0" w:tplc="B87AB06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nsid w:val="6EB44AF2"/>
    <w:multiLevelType w:val="hybridMultilevel"/>
    <w:tmpl w:val="0CC07A28"/>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nsid w:val="6F705C9C"/>
    <w:multiLevelType w:val="hybridMultilevel"/>
    <w:tmpl w:val="28886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220B7E"/>
    <w:multiLevelType w:val="multilevel"/>
    <w:tmpl w:val="BCA000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99E6C60"/>
    <w:multiLevelType w:val="hybridMultilevel"/>
    <w:tmpl w:val="C0E224A2"/>
    <w:lvl w:ilvl="0" w:tplc="0C0A0005">
      <w:start w:val="1"/>
      <w:numFmt w:val="bullet"/>
      <w:lvlText w:val=""/>
      <w:lvlJc w:val="left"/>
      <w:pPr>
        <w:tabs>
          <w:tab w:val="num" w:pos="360"/>
        </w:tabs>
        <w:ind w:left="360" w:hanging="360"/>
      </w:pPr>
      <w:rPr>
        <w:rFonts w:ascii="Wingdings" w:hAnsi="Wingdings" w:hint="default"/>
        <w:sz w:val="22"/>
      </w:rPr>
    </w:lvl>
    <w:lvl w:ilvl="1" w:tplc="0C0A0019">
      <w:start w:val="1"/>
      <w:numFmt w:val="lowerLetter"/>
      <w:lvlText w:val="%2."/>
      <w:lvlJc w:val="left"/>
      <w:pPr>
        <w:tabs>
          <w:tab w:val="num" w:pos="1383"/>
        </w:tabs>
        <w:ind w:left="1383" w:hanging="360"/>
      </w:pPr>
    </w:lvl>
    <w:lvl w:ilvl="2" w:tplc="52782EE0">
      <w:start w:val="13"/>
      <w:numFmt w:val="decimal"/>
      <w:lvlText w:val="%3."/>
      <w:lvlJc w:val="left"/>
      <w:pPr>
        <w:tabs>
          <w:tab w:val="num" w:pos="2628"/>
        </w:tabs>
        <w:ind w:left="2628" w:hanging="705"/>
      </w:pPr>
      <w:rPr>
        <w:rFonts w:hint="default"/>
      </w:rPr>
    </w:lvl>
    <w:lvl w:ilvl="3" w:tplc="0C0A000F" w:tentative="1">
      <w:start w:val="1"/>
      <w:numFmt w:val="decimal"/>
      <w:lvlText w:val="%4."/>
      <w:lvlJc w:val="left"/>
      <w:pPr>
        <w:tabs>
          <w:tab w:val="num" w:pos="2823"/>
        </w:tabs>
        <w:ind w:left="2823" w:hanging="360"/>
      </w:pPr>
    </w:lvl>
    <w:lvl w:ilvl="4" w:tplc="0C0A0019" w:tentative="1">
      <w:start w:val="1"/>
      <w:numFmt w:val="lowerLetter"/>
      <w:lvlText w:val="%5."/>
      <w:lvlJc w:val="left"/>
      <w:pPr>
        <w:tabs>
          <w:tab w:val="num" w:pos="3543"/>
        </w:tabs>
        <w:ind w:left="3543" w:hanging="360"/>
      </w:pPr>
    </w:lvl>
    <w:lvl w:ilvl="5" w:tplc="0C0A001B" w:tentative="1">
      <w:start w:val="1"/>
      <w:numFmt w:val="lowerRoman"/>
      <w:lvlText w:val="%6."/>
      <w:lvlJc w:val="right"/>
      <w:pPr>
        <w:tabs>
          <w:tab w:val="num" w:pos="4263"/>
        </w:tabs>
        <w:ind w:left="4263" w:hanging="180"/>
      </w:pPr>
    </w:lvl>
    <w:lvl w:ilvl="6" w:tplc="0C0A000F" w:tentative="1">
      <w:start w:val="1"/>
      <w:numFmt w:val="decimal"/>
      <w:lvlText w:val="%7."/>
      <w:lvlJc w:val="left"/>
      <w:pPr>
        <w:tabs>
          <w:tab w:val="num" w:pos="4983"/>
        </w:tabs>
        <w:ind w:left="4983" w:hanging="360"/>
      </w:pPr>
    </w:lvl>
    <w:lvl w:ilvl="7" w:tplc="0C0A0019" w:tentative="1">
      <w:start w:val="1"/>
      <w:numFmt w:val="lowerLetter"/>
      <w:lvlText w:val="%8."/>
      <w:lvlJc w:val="left"/>
      <w:pPr>
        <w:tabs>
          <w:tab w:val="num" w:pos="5703"/>
        </w:tabs>
        <w:ind w:left="5703" w:hanging="360"/>
      </w:pPr>
    </w:lvl>
    <w:lvl w:ilvl="8" w:tplc="0C0A001B" w:tentative="1">
      <w:start w:val="1"/>
      <w:numFmt w:val="lowerRoman"/>
      <w:lvlText w:val="%9."/>
      <w:lvlJc w:val="right"/>
      <w:pPr>
        <w:tabs>
          <w:tab w:val="num" w:pos="6423"/>
        </w:tabs>
        <w:ind w:left="6423" w:hanging="180"/>
      </w:pPr>
    </w:lvl>
  </w:abstractNum>
  <w:num w:numId="1">
    <w:abstractNumId w:val="1"/>
  </w:num>
  <w:num w:numId="2">
    <w:abstractNumId w:val="0"/>
  </w:num>
  <w:num w:numId="3">
    <w:abstractNumId w:val="10"/>
  </w:num>
  <w:num w:numId="4">
    <w:abstractNumId w:val="2"/>
  </w:num>
  <w:num w:numId="5">
    <w:abstractNumId w:val="6"/>
  </w:num>
  <w:num w:numId="6">
    <w:abstractNumId w:val="4"/>
  </w:num>
  <w:num w:numId="7">
    <w:abstractNumId w:val="14"/>
  </w:num>
  <w:num w:numId="8">
    <w:abstractNumId w:val="9"/>
  </w:num>
  <w:num w:numId="9">
    <w:abstractNumId w:val="11"/>
  </w:num>
  <w:num w:numId="10">
    <w:abstractNumId w:val="3"/>
  </w:num>
  <w:num w:numId="11">
    <w:abstractNumId w:val="7"/>
  </w:num>
  <w:num w:numId="12">
    <w:abstractNumId w:val="8"/>
  </w:num>
  <w:num w:numId="13">
    <w:abstractNumId w:val="12"/>
  </w:num>
  <w:num w:numId="14">
    <w:abstractNumId w:val="5"/>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64F5B"/>
    <w:rsid w:val="000A2A89"/>
    <w:rsid w:val="00153E18"/>
    <w:rsid w:val="0016042A"/>
    <w:rsid w:val="001F6BCC"/>
    <w:rsid w:val="002743E7"/>
    <w:rsid w:val="002E0F6E"/>
    <w:rsid w:val="002F14C8"/>
    <w:rsid w:val="00312452"/>
    <w:rsid w:val="003A0A23"/>
    <w:rsid w:val="00412AC5"/>
    <w:rsid w:val="004737C9"/>
    <w:rsid w:val="0048577E"/>
    <w:rsid w:val="004D4825"/>
    <w:rsid w:val="00521E3C"/>
    <w:rsid w:val="00606D39"/>
    <w:rsid w:val="006129C6"/>
    <w:rsid w:val="0061445A"/>
    <w:rsid w:val="00623530"/>
    <w:rsid w:val="00634102"/>
    <w:rsid w:val="00646DC3"/>
    <w:rsid w:val="00700B30"/>
    <w:rsid w:val="00794988"/>
    <w:rsid w:val="007E7C1C"/>
    <w:rsid w:val="00864F5B"/>
    <w:rsid w:val="00982DAB"/>
    <w:rsid w:val="00A6283E"/>
    <w:rsid w:val="00B24D7E"/>
    <w:rsid w:val="00B54FE9"/>
    <w:rsid w:val="00B65F10"/>
    <w:rsid w:val="00C343BE"/>
    <w:rsid w:val="00CF6E68"/>
    <w:rsid w:val="00F03677"/>
    <w:rsid w:val="00F3336F"/>
    <w:rsid w:val="00F5636B"/>
    <w:rsid w:val="00FA58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072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49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3A0A23"/>
  </w:style>
  <w:style w:type="character" w:customStyle="1" w:styleId="FootnoteTextChar">
    <w:name w:val="Footnote Text Char"/>
    <w:basedOn w:val="DefaultParagraphFont"/>
    <w:link w:val="FootnoteText"/>
    <w:uiPriority w:val="99"/>
    <w:rsid w:val="003A0A23"/>
  </w:style>
  <w:style w:type="character" w:styleId="FootnoteReference">
    <w:name w:val="footnote reference"/>
    <w:basedOn w:val="DefaultParagraphFont"/>
    <w:uiPriority w:val="99"/>
    <w:unhideWhenUsed/>
    <w:rsid w:val="003A0A23"/>
    <w:rPr>
      <w:vertAlign w:val="superscript"/>
    </w:rPr>
  </w:style>
  <w:style w:type="paragraph" w:styleId="BodyText">
    <w:name w:val="Body Text"/>
    <w:basedOn w:val="Normal"/>
    <w:link w:val="BodyTextChar"/>
    <w:uiPriority w:val="99"/>
    <w:rsid w:val="00B65F10"/>
    <w:pPr>
      <w:jc w:val="both"/>
    </w:pPr>
    <w:rPr>
      <w:rFonts w:ascii="Arial" w:eastAsia="Times New Roman" w:hAnsi="Arial" w:cs="Arial"/>
      <w:sz w:val="20"/>
      <w:szCs w:val="20"/>
      <w:lang w:val="es-GT" w:eastAsia="es-ES"/>
    </w:rPr>
  </w:style>
  <w:style w:type="character" w:customStyle="1" w:styleId="BodyTextChar">
    <w:name w:val="Body Text Char"/>
    <w:basedOn w:val="DefaultParagraphFont"/>
    <w:link w:val="BodyText"/>
    <w:uiPriority w:val="99"/>
    <w:rsid w:val="00B65F10"/>
    <w:rPr>
      <w:rFonts w:ascii="Arial" w:eastAsia="Times New Roman" w:hAnsi="Arial" w:cs="Arial"/>
      <w:sz w:val="20"/>
      <w:szCs w:val="20"/>
      <w:lang w:val="es-GT" w:eastAsia="es-ES"/>
    </w:rPr>
  </w:style>
  <w:style w:type="paragraph" w:styleId="Title">
    <w:name w:val="Title"/>
    <w:basedOn w:val="Normal"/>
    <w:link w:val="TitleChar"/>
    <w:uiPriority w:val="99"/>
    <w:qFormat/>
    <w:rsid w:val="00B65F10"/>
    <w:pPr>
      <w:jc w:val="center"/>
    </w:pPr>
    <w:rPr>
      <w:rFonts w:ascii="Times New Roman" w:eastAsia="Times New Roman" w:hAnsi="Times New Roman" w:cs="Times New Roman"/>
      <w:b/>
      <w:bCs/>
      <w:lang w:eastAsia="es-ES"/>
    </w:rPr>
  </w:style>
  <w:style w:type="character" w:customStyle="1" w:styleId="TitleChar">
    <w:name w:val="Title Char"/>
    <w:basedOn w:val="DefaultParagraphFont"/>
    <w:link w:val="Title"/>
    <w:uiPriority w:val="99"/>
    <w:rsid w:val="00B65F10"/>
    <w:rPr>
      <w:rFonts w:ascii="Times New Roman" w:eastAsia="Times New Roman" w:hAnsi="Times New Roman" w:cs="Times New Roman"/>
      <w:b/>
      <w:bCs/>
      <w:lang w:eastAsia="es-ES"/>
    </w:rPr>
  </w:style>
  <w:style w:type="table" w:styleId="TableGrid">
    <w:name w:val="Table Grid"/>
    <w:basedOn w:val="TableNormal"/>
    <w:uiPriority w:val="59"/>
    <w:rsid w:val="00A628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21E3C"/>
    <w:pPr>
      <w:ind w:left="720"/>
      <w:contextualSpacing/>
    </w:pPr>
  </w:style>
  <w:style w:type="paragraph" w:styleId="DocumentMap">
    <w:name w:val="Document Map"/>
    <w:basedOn w:val="Normal"/>
    <w:link w:val="DocumentMapChar"/>
    <w:uiPriority w:val="99"/>
    <w:semiHidden/>
    <w:unhideWhenUsed/>
    <w:rsid w:val="007E7C1C"/>
    <w:rPr>
      <w:rFonts w:ascii="Lucida Grande" w:hAnsi="Lucida Grande" w:cs="Lucida Grande"/>
    </w:rPr>
  </w:style>
  <w:style w:type="character" w:customStyle="1" w:styleId="DocumentMapChar">
    <w:name w:val="Document Map Char"/>
    <w:basedOn w:val="DefaultParagraphFont"/>
    <w:link w:val="DocumentMap"/>
    <w:uiPriority w:val="99"/>
    <w:semiHidden/>
    <w:rsid w:val="007E7C1C"/>
    <w:rPr>
      <w:rFonts w:ascii="Lucida Grande" w:hAnsi="Lucida Grande" w:cs="Lucida Gran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3A0A23"/>
  </w:style>
  <w:style w:type="character" w:customStyle="1" w:styleId="FootnoteTextChar">
    <w:name w:val="Footnote Text Char"/>
    <w:basedOn w:val="DefaultParagraphFont"/>
    <w:link w:val="FootnoteText"/>
    <w:uiPriority w:val="99"/>
    <w:rsid w:val="003A0A23"/>
  </w:style>
  <w:style w:type="character" w:styleId="FootnoteReference">
    <w:name w:val="footnote reference"/>
    <w:basedOn w:val="DefaultParagraphFont"/>
    <w:uiPriority w:val="99"/>
    <w:unhideWhenUsed/>
    <w:rsid w:val="003A0A23"/>
    <w:rPr>
      <w:vertAlign w:val="superscript"/>
    </w:rPr>
  </w:style>
  <w:style w:type="paragraph" w:styleId="BodyText">
    <w:name w:val="Body Text"/>
    <w:basedOn w:val="Normal"/>
    <w:link w:val="BodyTextChar"/>
    <w:uiPriority w:val="99"/>
    <w:rsid w:val="00B65F10"/>
    <w:pPr>
      <w:jc w:val="both"/>
    </w:pPr>
    <w:rPr>
      <w:rFonts w:ascii="Arial" w:eastAsia="Times New Roman" w:hAnsi="Arial" w:cs="Arial"/>
      <w:sz w:val="20"/>
      <w:szCs w:val="20"/>
      <w:lang w:val="es-GT" w:eastAsia="es-ES"/>
    </w:rPr>
  </w:style>
  <w:style w:type="character" w:customStyle="1" w:styleId="BodyTextChar">
    <w:name w:val="Body Text Char"/>
    <w:basedOn w:val="DefaultParagraphFont"/>
    <w:link w:val="BodyText"/>
    <w:uiPriority w:val="99"/>
    <w:rsid w:val="00B65F10"/>
    <w:rPr>
      <w:rFonts w:ascii="Arial" w:eastAsia="Times New Roman" w:hAnsi="Arial" w:cs="Arial"/>
      <w:sz w:val="20"/>
      <w:szCs w:val="20"/>
      <w:lang w:val="es-GT" w:eastAsia="es-ES"/>
    </w:rPr>
  </w:style>
  <w:style w:type="paragraph" w:styleId="Title">
    <w:name w:val="Title"/>
    <w:basedOn w:val="Normal"/>
    <w:link w:val="TitleChar"/>
    <w:uiPriority w:val="99"/>
    <w:qFormat/>
    <w:rsid w:val="00B65F10"/>
    <w:pPr>
      <w:jc w:val="center"/>
    </w:pPr>
    <w:rPr>
      <w:rFonts w:ascii="Times New Roman" w:eastAsia="Times New Roman" w:hAnsi="Times New Roman" w:cs="Times New Roman"/>
      <w:b/>
      <w:bCs/>
      <w:lang w:eastAsia="es-ES"/>
    </w:rPr>
  </w:style>
  <w:style w:type="character" w:customStyle="1" w:styleId="TitleChar">
    <w:name w:val="Title Char"/>
    <w:basedOn w:val="DefaultParagraphFont"/>
    <w:link w:val="Title"/>
    <w:uiPriority w:val="99"/>
    <w:rsid w:val="00B65F10"/>
    <w:rPr>
      <w:rFonts w:ascii="Times New Roman" w:eastAsia="Times New Roman" w:hAnsi="Times New Roman" w:cs="Times New Roman"/>
      <w:b/>
      <w:bCs/>
      <w:lang w:eastAsia="es-ES"/>
    </w:rPr>
  </w:style>
  <w:style w:type="table" w:styleId="TableGrid">
    <w:name w:val="Table Grid"/>
    <w:basedOn w:val="TableNormal"/>
    <w:uiPriority w:val="59"/>
    <w:rsid w:val="00A628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21E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8</Pages>
  <Words>3075</Words>
  <Characters>17531</Characters>
  <Application>Microsoft Macintosh Word</Application>
  <DocSecurity>0</DocSecurity>
  <Lines>146</Lines>
  <Paragraphs>41</Paragraphs>
  <ScaleCrop>false</ScaleCrop>
  <Company>ECI</Company>
  <LinksUpToDate>false</LinksUpToDate>
  <CharactersWithSpaces>20565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Otter</dc:creator>
  <cp:keywords/>
  <dc:description/>
  <cp:lastModifiedBy>Thomas Otter</cp:lastModifiedBy>
  <cp:revision>6</cp:revision>
  <dcterms:created xsi:type="dcterms:W3CDTF">2012-11-25T12:21:00Z</dcterms:created>
  <dcterms:modified xsi:type="dcterms:W3CDTF">2012-12-29T14:49:00Z</dcterms:modified>
</cp:coreProperties>
</file>